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黑体_GBK" w:hAnsi="方正黑体_GBK" w:eastAsia="方正黑体_GBK" w:cs="方正黑体_GBK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各行业小微企业划型标准</w:t>
      </w:r>
    </w:p>
    <w:bookmarkEnd w:id="0"/>
    <w:p>
      <w:pPr>
        <w:spacing w:line="3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</w:p>
    <w:tbl>
      <w:tblPr>
        <w:tblStyle w:val="3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939"/>
        <w:gridCol w:w="1921"/>
        <w:gridCol w:w="1922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序号</w:t>
            </w:r>
          </w:p>
        </w:tc>
        <w:tc>
          <w:tcPr>
            <w:tcW w:w="2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行业分类</w:t>
            </w:r>
          </w:p>
        </w:tc>
        <w:tc>
          <w:tcPr>
            <w:tcW w:w="5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小微企业划型标准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黑体" w:eastAsia="仿宋_GB2312"/>
                <w:sz w:val="22"/>
              </w:rPr>
            </w:pPr>
          </w:p>
        </w:tc>
        <w:tc>
          <w:tcPr>
            <w:tcW w:w="2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黑体" w:eastAsia="仿宋_GB2312"/>
                <w:sz w:val="22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从业人员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营业收入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eastAsia="仿宋_GB2312"/>
                <w:sz w:val="22"/>
              </w:rPr>
            </w:pPr>
            <w:r>
              <w:rPr>
                <w:rFonts w:hint="eastAsia" w:ascii="仿宋_GB2312" w:hAnsi="黑体" w:eastAsia="仿宋_GB2312"/>
                <w:sz w:val="22"/>
              </w:rPr>
              <w:t>资产总额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1 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农、林、牧、渔业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500万元以下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工业（包括采矿业，制造业，电力、热力、燃气及水生产和供应业）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300人以下或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2000万元以下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3 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建筑业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6000万元以下或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5000万元以下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4 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批发业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20人以下或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5000万元以下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5 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零售业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50人以下或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500万元以下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6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交通运输业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（不含铁路运输业）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300人以下或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3000万元以下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7 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仓储业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100人以下或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1000万元以下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8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邮政业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300人以下或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2000万元以下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9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住宿业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100人以下或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2000万元以下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10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2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餐饮业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100人以下或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2000万元以下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11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信息传输业（包括电信、互联网和相关服务）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100人以下或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1000万元以下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12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软件和信息技术服务业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100人以下或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1000万元以下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13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房地产开发经营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1000万元以下或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5000万元以下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14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物业管理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300人以下或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1000万元以下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15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租赁和商务服务业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100人以下或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8000万元以下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16</w:t>
            </w:r>
          </w:p>
        </w:tc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其他未列明行业（包括科学研究和技术服务业，水利、环境和公共设施管理业，居民服务、修理和其他服务业，社会工作，文化、体育和娱乐业等）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2"/>
                <w:shd w:val="clear" w:color="auto" w:fill="FFFFFF"/>
              </w:rPr>
              <w:t>100人以下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hd w:val="clear" w:color="auto" w:fill="FFFFFF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hd w:val="clear" w:color="auto" w:fill="FFFFFF"/>
              </w:rPr>
            </w:pPr>
          </w:p>
        </w:tc>
      </w:tr>
    </w:tbl>
    <w:p>
      <w:pPr>
        <w:spacing w:line="300" w:lineRule="exact"/>
        <w:ind w:firstLine="480" w:firstLineChars="200"/>
        <w:rPr>
          <w:rFonts w:hint="eastAsia" w:ascii="仿宋_GB2312" w:eastAsia="仿宋_GB2312"/>
          <w:sz w:val="24"/>
          <w:szCs w:val="21"/>
        </w:rPr>
      </w:pPr>
    </w:p>
    <w:p>
      <w:pPr>
        <w:spacing w:line="300" w:lineRule="exact"/>
        <w:ind w:firstLine="480" w:firstLineChars="200"/>
        <w:rPr>
          <w:rFonts w:hint="eastAsia" w:eastAsia="仿宋_GB2312"/>
          <w:sz w:val="18"/>
          <w:szCs w:val="21"/>
        </w:rPr>
      </w:pPr>
      <w:r>
        <w:rPr>
          <w:rFonts w:hint="eastAsia" w:ascii="仿宋_GB2312" w:eastAsia="仿宋_GB2312"/>
          <w:sz w:val="24"/>
          <w:szCs w:val="21"/>
        </w:rPr>
        <w:t>备注：本标准依据工业和信息化部、国家统计局、国家发展改革委、财政部《关于印发中小企业划型标准规定的通知》（工信部联企业〔2011〕300号）整理。</w:t>
      </w:r>
    </w:p>
    <w:p>
      <w:pPr>
        <w:pStyle w:val="2"/>
        <w:rPr>
          <w:rFonts w:hint="eastAsia" w:hAnsi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A03EA"/>
    <w:rsid w:val="0EBA03EA"/>
    <w:rsid w:val="740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2020-06-22T07:19:00Z</dcterms:created>
  <dc:creator>微生</dc:creator>
  <cp:lastModifiedBy>Administrator</cp:lastModifiedBy>
  <dcterms:modified xsi:type="dcterms:W3CDTF">2021-03-15T04:05:11Z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