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方正小标宋简体"/>
          <w:b/>
          <w:bCs/>
          <w:color w:val="000000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0" w:firstLineChars="0"/>
        <w:jc w:val="center"/>
        <w:outlineLvl w:val="0"/>
        <w:rPr>
          <w:rFonts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  <w:lang w:val="en-US" w:eastAsia="zh-CN"/>
        </w:rPr>
        <w:t>推进</w:t>
      </w:r>
      <w:r>
        <w:rPr>
          <w:rFonts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</w:rPr>
        <w:t>体育</w:t>
      </w:r>
      <w:r>
        <w:rPr>
          <w:rFonts w:hint="eastAsia"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  <w:lang w:val="en-US" w:eastAsia="zh-CN"/>
        </w:rPr>
        <w:t>高质量发展的</w:t>
      </w:r>
      <w:r>
        <w:rPr>
          <w:rFonts w:ascii="Times New Roman" w:hAnsi="Times New Roman" w:eastAsia="方正小标宋_GBK"/>
          <w:b/>
          <w:bCs/>
          <w:color w:val="000000"/>
          <w:spacing w:val="0"/>
          <w:kern w:val="2"/>
          <w:sz w:val="44"/>
          <w:szCs w:val="44"/>
        </w:rPr>
        <w:t>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firstLine="0" w:firstLineChars="0"/>
        <w:jc w:val="center"/>
        <w:outlineLvl w:val="0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征求意见稿</w:t>
      </w: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8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spacing w:val="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both"/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为深入贯彻落实党中央、国务院关于体育强国建设的重要部署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和省委、省政府《加快推进体育强省建设行动方案》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推进全市体育事业和体育产业高质量发展，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提出如下实施意见。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一、总体要求</w:t>
      </w:r>
    </w:p>
    <w:p>
      <w:pPr>
        <w:pStyle w:val="17"/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以习近平新时代中国特色社会主义思想为指导，深入贯彻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党的二十大精神和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习近平总书记关于体育的重要论述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，认真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全民健身国家战略和中央、省关于体育工作的系列决策部署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，以新发展理念为引领，以满足人民美好生活需要为根本目的，推动群众体育、竞技体育、青少年体育、体育产业协调发展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，努力实现巴中体育事业和体育产业健康发展、高质量发展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both"/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到202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7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年，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全市人均体育场地面积达到3.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55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平方米以上，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经常参加体育锻炼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人数比例达到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42.2%，城乡居民《国民体质测定标准》合格以上的人数比例达到92.6%。规上体育企业达到6家，体育产业总规模达到5亿元。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全市全民健身公共服务体系逐渐健全，广大市民健身意识不断增强，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竞技体育综合实力显著提升，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全社会热爱运动新风尚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基本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形成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做响“运动巴中”全民健身品牌。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二</w:t>
      </w:r>
      <w:r>
        <w:rPr>
          <w:rFonts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</w:rPr>
        <w:t>、</w:t>
      </w:r>
      <w:r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（一）实施补短行动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楷体_GB2312"/>
          <w:b/>
          <w:bCs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完善全民健身设施体系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firstLine="643" w:firstLineChars="200"/>
        <w:jc w:val="left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  <w:t>1.统筹建设健身场地设施。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因地制宜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加快推进全民健身场地设施补短板，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实现市、县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（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区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乡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镇（街道）、村（社区）四级公共健身设施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和社区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15分钟健身圈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全覆盖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到2027年，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 w:bidi="ar-SA"/>
        </w:rPr>
        <w:t>市级建成1场2馆1中心1公园；县（区）建成1场1中心1公园（</w:t>
      </w:r>
      <w:r>
        <w:rPr>
          <w:rFonts w:ascii="Times New Roman" w:hAnsi="Times New Roman" w:eastAsia="仿宋_GB2312"/>
          <w:color w:val="000000"/>
          <w:kern w:val="0"/>
          <w:sz w:val="32"/>
          <w:szCs w:val="24"/>
          <w:lang w:val="en-US" w:eastAsia="zh-CN" w:bidi="ar-SA"/>
        </w:rPr>
        <w:t>巴州区建成1中心1公园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 w:bidi="ar-SA"/>
        </w:rPr>
        <w:t>），选建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 w:bidi="ar-SA"/>
        </w:rPr>
        <w:t>1个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 w:bidi="ar-SA"/>
        </w:rPr>
        <w:t>公共体育馆、游泳馆、滑冰馆、健身广场等体育场馆；乡镇（街道）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建成1中心或1场；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村级农民体育健身工程实现全覆盖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b/>
          <w:bCs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责任单位: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局，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市发展和改革委员会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、市财政局、市自然资源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规划局、市住房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城乡建设局、市农业农村局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等（逗号前为牵头单位，未明确牵头单位的按职责分工负责，以下每项措施责任单位仅列入了主要单位，未列入单位按照职能分工配合）；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各县（区）、巴中经开区、文旅新区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（以下每项措施均按需参与，不再单列）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firstLine="643" w:firstLineChars="200"/>
        <w:jc w:val="left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2.重点推动社区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家门口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运动空间建设。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聚焦市民就近健身需求，合理优化各类场地设施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适老化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适儿化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无障碍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健身环境,充分利用公园绿地、废旧厂房、建筑屋顶、桥下空间、城市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金角银边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剩余空间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打造健身新空间，构建群众身边的多层次多样化健身圈。到2027年，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推动每个社区至少建成1个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社区运动角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b/>
          <w:bCs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责任单位: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市文化广播电视体育和旅游局，市委社会工作部、市自然资源和规划局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市住房和城乡建设局等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firstLine="643" w:firstLineChars="200"/>
        <w:jc w:val="left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3.提升居住区体育场地设施配套。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新建小区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全面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室内人均建筑面积不低于0.1平方米或室外人均用地不低于0.3平方米标准配套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建设公共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健身设施，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纳入施工图纸审查，验收未达标不得交付使用”的要求。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未达标的既有小区，因地制宜逐步配建健身场地设施。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b/>
          <w:bCs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责任单位: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市自然资源和规划局，市住房和城乡建设局、市文化广播电视体育和旅游局等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（二）实施健身行动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，形成全民健身良好氛围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丰富全民健身活动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传递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体育即生活、生活即体育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理念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，结合</w:t>
      </w:r>
      <w:r>
        <w:rPr>
          <w:rFonts w:ascii="Times New Roman" w:hAnsi="Times New Roman" w:eastAsia="仿宋_GB2312"/>
          <w:color w:val="000000"/>
          <w:kern w:val="0"/>
          <w:sz w:val="32"/>
          <w:lang w:val="en-US" w:eastAsia="zh-CN"/>
        </w:rPr>
        <w:t>全省“百城千乡万村·社区”全民健身运动计划，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大力开展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“国球进社区”“国球进公园”活动和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徒步、路跑、骑行、棋牌、门球、体育舞蹈等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群众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喜闻乐见的运动项目。广泛开展武术、太极拳、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广场舞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等民间传统体育项目和农趣运动项目。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每年举办“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一节两会三赛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，构建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一县（区）一特色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全民健身活动体系。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市总工会、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市直工委、市水利局、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市农业农村局、市卫生健康委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5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强化老幼体育健身活动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按照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重在参与、就近就地、小型多样、文体结合、科学文明、有益健康的原则，多形式开展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太极拳（剑）、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广场舞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等适老健身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将参与面广、受老年人喜爱的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项目向城市社区和农村乡镇延伸。创新开展亲子运动会、幼儿体育展示大会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、幼儿体育游戏等活动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市教育局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  <w:t>.深化体教融合。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配齐配强中小学体育教师，在中小学校设立专（兼）职教练员岗位，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支持优秀退役运动员进校园担任体育教师或教练员，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积极开展体育协会送教活动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加快落实义务教育阶段学校每天开设1节体育课、高中阶段学校每周开设3节体育课的要求，保障中小学校学生在校期间每天参加不少于1小时体育锻炼。义务教育阶段学生每年至少参加1项校级体育比赛项目，参赛成绩记入学生体质健康档案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，促进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青少年熟练掌握1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—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2项运动技能。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支持学校体育教师参加体育赛事、培训交流活动，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利用业余时间走进社区、走进农村开展指导服务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市教育局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市文化广播电视体育和旅游局等</w:t>
      </w:r>
      <w:r>
        <w:rPr>
          <w:rFonts w:hint="eastAsia" w:ascii="仿宋_GB2312" w:hAnsi="仿宋_GB2312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（三）实施提质行动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，优化全民健身服务网络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7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eastAsia="zh-CN"/>
        </w:rPr>
        <w:t>做强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  <w:t>体育社会组织。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做实市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、县（区）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体育单项协会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推进县（区）级体育总会或体育联合会全覆盖，引领体育协会向乡镇（街道）、村（社区）延伸服务，推动社区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各类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体育组织发展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鼓励通过政府购买服务等方式，引导社会组织承接公益性体育赛事和培训项目。对运行规范、实绩突出、具有引领带动作用的社会组织给予奖补。到2027年，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各县（区）构建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起“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1+1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基层组织网络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市文化广播电视体育和旅游局，市财政局、市民政局等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8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.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  <w:t>提升健身指导服务质效。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树立“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运动促健康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”理念，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推进国民体质监测站与医疗机构合作，每年组织全科医生、社区医生参加“运动促进健康”技术培训班，拓展“运动健身与健康促进”体卫融合服务功能，推广“运动建议书”或“运动处方”。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探索将国民体质测试项目纳入医疗机构体检项目。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开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展科学健身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云指导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，建立发布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运动巴中·体育生活地图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体育锻炼适宜指数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，为市民健身提供便利。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到2027年，培训社区运动健康师100名，设立社区全民健身服务站点100个，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每千人拥有社会体育指导员3名，群众体育引领员队伍人数达到8.7万名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市卫生健康委，市文化广播电视体育和旅游局等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9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提高体育场馆开放水平。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推进学校体育场馆和公共体育场馆双向开放，做到应开尽开。落实公共体育场馆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和区域内的公共体育场地设施全年免费或低收费开放。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学校体育场馆在保证校园安全前提下，在公休日、国家法定节假日、学校寒暑假期间，尽可能对外开放，最大限度解决广大青少年和人民群众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健身去哪儿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难题。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支持企事业单位、民营体育场馆免费或低收费开放。鼓励依托“天府体育资源交易平台”，将场馆运营权等体育要素资源面向社会公开交易。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支持市委党校、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四川大巴山干部学院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市外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培训学员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到公共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体育场馆开展体育活动。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市教育局、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市委党校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四川大巴山干部学院等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.提升公共体育场馆智慧化水平。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结合“智慧巴中”“巴事办”平台建设，加强公共体育场馆信息化管理，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建设全民健身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智慧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服务平台，提升场馆预订、健身指导、运动分析、体质监测、交流互动、赛事参与、经营统计等综合服务水平，为群众提供更加便利、科学、安全、灵活的健身场地设施。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市营商环境和数据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（四）实施育新行动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，提升竞技体育综合实力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11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.完善科学训练体系。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巩固和完善普通中小学、各级体校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等竞技体育训练基地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做实建强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少年儿童业余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体育学校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支持依托符合条件的普通中小学校加挂体育学校牌子建设新型体校，逐步实现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县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（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区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体校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（新型体校）。允许符合条件的中小学体育生根据体育专长跨区域选择基层体校（新型体校），并可在训练基地就读，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加强体育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后备人才培养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拓宽体育人才输送渠道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到20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27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年，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力争建成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食、宿、训一体的体育运动学校1所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、省级及以上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亚高原训练基地1个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储备竞技体育后备人才1000人以上，向省优秀运动队输送人才200人次以上，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提升我市竞技体育为国争光、为蜀添彩能力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市发展和改革委员会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、市教育局、市财政局、市自然资源和规划局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2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</w:rPr>
        <w:t>.优化竞技项目布局。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坚持立足省运、着眼全运、放眼奥运，积极打造优势项目群。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强化体教阵地共建，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巩固发展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跆拳道、举重、拳击、武术套路、武术散打等优势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项目，加快发展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田径、国际式摔跤、柔道等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潜优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项目，提升发展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三大球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三小球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普及项目，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挖掘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发展冰雪项目，构建重点突出、均衡发展的项目布局。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对巴中输送的高水平运动员，参加奥运会、亚运会、全运会、世锦赛和省运会获得金牌、银牌、铜牌等优异成绩的给予奖励。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，市财政局、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市教育局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hAnsi="仿宋_GB2312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13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做精体育赛事活动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积极承办自由式小轮车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赛、马拉松赛、龙舟赛等国际国内大型体育赛事活动，积极申办四川省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定向越野赛、青少年单项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运动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锦标赛等高水平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赛事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活动；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牵头举办革命老区男子篮球赛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等自主赛事活动；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通过市场化运作方式，广泛引进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国际国内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体育舞蹈、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太极拳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、武术、自由搏击、篮球、足球、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乒乓球、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钓鱼等群众参与性强、市场化程度高的、宣传影响力大的赛事活动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满足群众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多元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观赛需求，提高区域发展知名度、美誉度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五</w:t>
      </w: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）实施攻坚行动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楷体_GB2312"/>
          <w:b/>
          <w:bCs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推动体育产业高质量发展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构建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体育产业发展体系。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形成以健身休闲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竞赛表演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和服务业融合发展的体育产业体系。培育运动康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养、体育赛事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、场馆运营、体育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旅游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体育餐饮、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体育培训等业态，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积极引进体育制造业，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形成赛事策划、运营服务、营销推广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等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全产业链条。鼓励利用商业综合体、老旧工业厂区等，打造综合性健身休闲与消费体验中心。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  <w:t>市经济和信息化局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15</w:t>
      </w:r>
      <w:r>
        <w:rPr>
          <w:rFonts w:ascii="Times New Roman" w:hAnsi="Times New Roman" w:eastAsia="仿宋_GB2312"/>
          <w:b/>
          <w:bCs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.激发体育市场主体活力。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加大对体育企业发展的政策扶持力度，引导社会资本参与体育产业发展，支持各种类型的体育企业发展壮大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重点支持一批有自主品牌、创新能力强的体育旅游、户外运动类企业，打造具有影响力的户外运动品牌。鼓励设立体育产业孵化平台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借助成都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体淘荟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等体育资源交易平台，引进优势项目和企业。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支持体育企业和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省内外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高校等联合组建战略联盟，形成一批体育与科技、旅游、健康、教育协同发展的联合体。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各类市场主体在符合安全要求前提下，依法依规利用存量房产、闲置物业等改造建设体育场地设施。支持社会力量依法依规通过长期租赁、先租后让、租让结合等方式取得国有建设用地使用权，实施健身设施建设项目。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根据国家、省、市“双减”工作要求和标准，进行前置审批，规范体育类校外培训。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市工商联、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市经济和信息化局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、市教育局、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市投资促进局、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市市场监督管理局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等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16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优化体育场馆配套服务管理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通过招商引资、政企合作，积极引入社会资本，在体育场馆周围配套建设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承接相应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体育赛事活动能力的酒店、商超、餐饮、文化娱乐、康复保健等服务设施，依托就近医疗机构提供康复保健服务，赛事期间配置医疗急救站（点）。通过租赁、合作等方式，引入市场主体参与运营公共体育场馆，盘活闲置、低效运营资产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、市自然资源和规划局、市财政局、市投资促进局、</w:t>
      </w:r>
      <w:r>
        <w:rPr>
          <w:rFonts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市商务局、市卫生健康委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17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.促进体育产业融合发展。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实施体育赛事+街区、体育赛事+商圈、体育赛事+餐饮行动，丰富节假日体育赛事活动，拓展体育健身、体育观赛、体育培训等消费新空间、新场景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、新体验。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开展体育赛事进景区活动，在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旅游景区、景点举办特色体育赛事，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围绕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体育旅游示范基地，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推出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国家级体育旅游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精品线路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打造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跟着赛事去旅游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体旅融合品牌。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围绕推动乡村全面振兴，策划开展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和美乡村健康跑+美丽乡村展示+乡村振兴示范+特色农产品展销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活动，促进农特产品销售。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推进体育与养老、科技、互联网等行业融合发展，加快发展电子竞技等新兴产业。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拓宽体育彩票销售渠道，发放体育消费券，激发体育消费需求。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，市商务局、市农业农村局、市住房和城乡建设局、市综合行政执法局等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18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.发展体育文化创意产业。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依托重大品牌赛事和特色体育活动，打造一批富有巴中特色的体育文创IP和产品，创作一批体育短视频、微电影、电视剧、歌曲、舞蹈等作品，开展体育文学、体育影视、体育收藏等评选和展示活动。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  <w:t>、市委宣传部、市广播电视台、巴中日报社等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</w:t>
      </w:r>
      <w:r>
        <w:rPr>
          <w:rFonts w:hint="eastAsia"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六</w:t>
      </w: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）实施传播行动，</w:t>
      </w:r>
      <w:r>
        <w:rPr>
          <w:rFonts w:ascii="Times New Roman" w:hAnsi="Times New Roman" w:eastAsia="楷体_GB2312"/>
          <w:b/>
          <w:bCs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促进体育文化繁荣发展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19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培育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巴中体育文化。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弘扬中华体育精神和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爱祖国、雄川体、创新路、争第一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四川体育精神，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积极弘扬优秀民间体育、民俗体育文化，打造一批体旅融合发展典型。塑造“运动巴中”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品牌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，激发全市人民热爱体育、崇尚运动、健康向上的良好风气。深入挖掘巴中红色、历史、民俗等文化内涵，与现代体育文化相结合，提炼富有特色的巴中体育文化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LOGO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市文化广播电视体育和旅游局、市委宣传部、巴中日报社、市广播电视台等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.加强体育交流合作。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深化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国际交流，加强成巴合作、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巴渝互动、东西部协作（对口帮扶）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在体育赛事举办、人才培养、品牌打造、营销策划、场馆运营等方面深度合作，加强体育单项协会、社会组织和体育企业的交流与共建，促进体育发展资源合理配置和高效集聚，建立互补的体育产业联盟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、城市融媒宣传联盟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，增强区域间体育交流和对外影响力。</w:t>
      </w:r>
      <w:r>
        <w:rPr>
          <w:rFonts w:hint="eastAsia" w:ascii="仿宋_GB2312" w:hAnsi="仿宋_GB2312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〔</w:t>
      </w:r>
      <w:r>
        <w:rPr>
          <w:rFonts w:hint="eastAsia" w:ascii="黑体" w:hAnsi="黑体" w:eastAsia="黑体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责任单位：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市文化广播电视体育和旅游局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olor w:val="000000"/>
          <w:kern w:val="0"/>
          <w:sz w:val="32"/>
          <w:szCs w:val="24"/>
          <w:u w:val="none"/>
          <w:lang w:val="en-US" w:eastAsia="zh-CN" w:bidi="ar"/>
        </w:rPr>
        <w:t>、市委宣传部、巴中日报社、市广播电视台、市发展和改革委员会等</w:t>
      </w:r>
      <w:r>
        <w:rPr>
          <w:rFonts w:hint="eastAsia" w:ascii="仿宋_GB2312" w:hAnsi="仿宋_GB2312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0" w:firstLineChars="200"/>
        <w:jc w:val="left"/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三</w:t>
      </w:r>
      <w:r>
        <w:rPr>
          <w:rFonts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</w:rPr>
        <w:t>、保障</w:t>
      </w:r>
      <w:r>
        <w:rPr>
          <w:rFonts w:ascii="Times New Roman" w:hAnsi="Times New Roman" w:eastAsia="黑体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（一）强化组织保障。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市、县（区）党委、政府和市级相关部门要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将体育工作纳入重要议事日程，对标重点任务，充分履职尽责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，细化工作举措，形成工作合力。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健全全民健身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工作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联席会议制度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加强对重点工作落实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情况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的调度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lang w:val="en-US" w:eastAsia="zh-CN"/>
        </w:rPr>
        <w:t>建立健全体育事业产业发展机制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。对支持和参与全民健身、在落实体育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高质量发展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实施意见中作出突出贡献的组织机构和个人进行表扬。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（二）强化政策保障。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市级设立促进体育发展专项资金，市、县（区）将全民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健身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经费、青少年参加体育竞赛经费列入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本级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财政预算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实施体育企业梯度培育行动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出台支持体育产业高质量发展扶持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激励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措施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市、县（区）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安排土地利用年度计划指标要优先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保障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省、市重点体育类项目用地。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体育彩票公益金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只能用于体育项目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，增加体育信贷产品。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（三）强化人才保障。</w:t>
      </w:r>
      <w:r>
        <w:rPr>
          <w:rFonts w:ascii="Times New Roman" w:hAnsi="Times New Roman" w:eastAsia="仿宋_GB2312"/>
          <w:color w:val="000000"/>
          <w:kern w:val="0"/>
          <w:sz w:val="32"/>
          <w:lang w:val="en-US" w:eastAsia="zh-CN"/>
        </w:rPr>
        <w:t>完善符合体育行业特点的人才机制、激励机制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符合条件的体育高层次人才申报省、市级重大人才计划。对符合条件的体育高层次人才可按规定实行绩效工资单列薪酬管理。业绩特别突出、作出重大贡献的体育人才可按规定破格申报职称。符合条件的高水平退役运动员可按规定通过考核招聘进入事业单位，从事体育教学、训练工作。建立急需紧缺体育专业技术人才引进和评价绿色通道，支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选派重点项目、重点领域专业人才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到国省高水平体育机构深造，培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养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和引进懂外交礼仪、具有多语言交流能力的复合型人才。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（四）强化宣传引导。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充分利用广播、电视、互联网、报纸及新媒体等各类宣传阵地，开辟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工作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宣传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专题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专栏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。培养熟悉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运动项目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且具有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体育解说评论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能力的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体育节目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活动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主持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人和新闻记者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，积极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倡导科学健身理念，弘扬中华体育精神和奥林匹克精神，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讲好体育故事。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pStyle w:val="8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方正小标宋_GBK" w:hAnsi="方正小标宋_GBK" w:eastAsia="方正小标宋_GBK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0" w:firstLineChars="0"/>
        <w:jc w:val="center"/>
        <w:rPr>
          <w:rFonts w:hint="eastAsia" w:ascii="华文中宋" w:hAnsi="华文中宋" w:eastAsia="华文中宋"/>
          <w:b/>
          <w:bCs/>
          <w:color w:val="000000"/>
          <w:spacing w:val="0"/>
          <w:kern w:val="0"/>
          <w:sz w:val="44"/>
          <w:szCs w:val="44"/>
          <w:lang w:val="en-US" w:eastAsia="zh-CN"/>
        </w:rPr>
      </w:pP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市、县（区）级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1场2馆1中心1公园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指公共体育场、体育馆、游泳馆、全民健身中心、体育公园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乡镇（街道）级1中心或1场：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健身中心或多功能运动场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村级农民体育健身工程：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指行政村建有1片硬化标准篮球场、1副篮球架、2张室外乒乓球台的健身设施项目。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i w:val="0"/>
          <w:iCs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i w:val="0"/>
          <w:iCs w:val="0"/>
          <w:color w:val="000000"/>
          <w:spacing w:val="0"/>
          <w:sz w:val="32"/>
          <w:szCs w:val="32"/>
        </w:rPr>
        <w:t>社区运动角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指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社区级公共体育设施的一种形式，布置在镇（街道）社区内贴近市民生活、便捷到达的空间中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且需包含不少于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种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val="en-US" w:eastAsia="zh-CN"/>
        </w:rPr>
        <w:t>体育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运动项目的设施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“1+1”基层组织网络：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指各乡镇（街道）均建成1个综合性体育社会组织，社区体育社会组织不少于1个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一节两会三赛：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指结合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/>
        </w:rPr>
        <w:t>全省“百城千乡万村·社区”全民健身运动计划，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举办“社区运动节”，开展无门槛“市民健身运动会”“市民智力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</w:rPr>
        <w:t>运动会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组织“农民坝坝篮球赛”“群众广场舞大赛”“职工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</w:rPr>
        <w:t>工间操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比赛”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等全民健身活动。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15分钟健身圈：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指在城市社区，居民从居住地步行或骑行不超过15分钟范围内，有可供开展健步走、广场舞、球类运动等群众性体育活动的场地设施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eastAsia="zh-CN"/>
        </w:rPr>
        <w:t>经常参加体育锻炼人数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比例：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/>
        </w:rPr>
        <w:t>指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以抽样调查的方式，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</w:rPr>
        <w:t>将每周参加体育锻炼频度3次及以上，每次体育锻炼持续时间30分钟及以上，每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次体育锻炼的运动强度达到中等及以上的人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占抽样人数比例。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城乡居民《国民体质测定标准》合格以上人数比例：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指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以抽样调查的方式，按照国家颁布的国民体质监测指标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合格人数占抽样人数比例。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运动健康师：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指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懂理论、会实操、能够开具“运动处方”的专业技术人才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社会体育指导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员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指在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begin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instrText xml:space="preserve"> HYPERLINK "https://baike.baidu.com/item/%E7%AB%9E%E6%8A%80%E4%BD%93%E8%82%B2/4200416?fromModule=lemma_inlink" \t "https://baike.baidu.com/item/%E7%A4%BE%E4%BC%9A%E4%BD%93%E8%82%B2%E6%8C%87%E5%AF%BC%E5%91%98/_blank" </w:instrTex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separate"/>
      </w:r>
      <w:r>
        <w:rPr>
          <w:rStyle w:val="19"/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t>竞技体育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begin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instrText xml:space="preserve"> HYPERLINK "https://baike.baidu.com/item/%E5%AD%A6%E6%A0%A1%E4%BD%93%E8%82%B2/3356771?fromModule=lemma_inlink" \t "https://baike.baidu.com/item/%E7%A4%BE%E4%BC%9A%E4%BD%93%E8%82%B2%E6%8C%87%E5%AF%BC%E5%91%98/_blank" </w:instrTex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separate"/>
      </w:r>
      <w:r>
        <w:rPr>
          <w:rStyle w:val="19"/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t>学校体育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、部队体育以外的群众性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begin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instrText xml:space="preserve"> HYPERLINK "https://baike.baidu.com/item/%E4%BD%93%E8%82%B2%E6%B4%BB%E5%8A%A8/4453647?fromModule=lemma_inlink" \t "https://baike.baidu.com/item/%E7%A4%BE%E4%BC%9A%E4%BD%93%E8%82%B2%E6%8C%87%E5%AF%BC%E5%91%98/_blank" </w:instrTex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separate"/>
      </w:r>
      <w:r>
        <w:rPr>
          <w:rStyle w:val="19"/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t>体育活动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中从事技能传授、锻炼指导和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begin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instrText xml:space="preserve"> HYPERLINK "https://baike.baidu.com/item/%E7%BB%84%E7%BB%87%E7%AE%A1%E7%90%86/5901392?fromModule=lemma_inlink" \t "https://baike.baidu.com/item/%E7%A4%BE%E4%BC%9A%E4%BD%93%E8%82%B2%E6%8C%87%E5%AF%BC%E5%91%98/_blank" </w:instrTex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separate"/>
      </w:r>
      <w:r>
        <w:rPr>
          <w:rStyle w:val="19"/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t>组织管理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u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工作的人员。</w:t>
      </w:r>
    </w:p>
    <w:p>
      <w:pPr>
        <w:tabs>
          <w:tab w:val="left" w:pos="610"/>
        </w:tabs>
        <w:bidi w:val="0"/>
        <w:spacing w:line="56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群众体育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引领员</w:t>
      </w:r>
      <w:r>
        <w:rPr>
          <w:rFonts w:ascii="Times New Roman" w:hAnsi="Times New Roman" w:eastAsia="仿宋_GB2312"/>
          <w:b/>
          <w:bCs/>
          <w:color w:val="000000"/>
          <w:spacing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指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为群众身边全民健身活动的组织者、指导者和推广者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  <w:t>。</w:t>
      </w:r>
    </w:p>
    <w:p>
      <w:pPr>
        <w:tabs>
          <w:tab w:val="left" w:pos="610"/>
        </w:tabs>
        <w:bidi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pStyle w:val="8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pStyle w:val="8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pStyle w:val="8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pStyle w:val="8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p>
      <w:pPr>
        <w:pStyle w:val="8"/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</w:pPr>
    </w:p>
    <w:sectPr>
      <w:footerReference r:id="rId3" w:type="default"/>
      <w:pgSz w:w="11906" w:h="16838"/>
      <w:pgMar w:top="1701" w:right="1587" w:bottom="1701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Dc0OTNjMTkwNGUyMjE0NDE5OGJiNzVhOWZhYWIifQ=="/>
  </w:docVars>
  <w:rsids>
    <w:rsidRoot w:val="00000000"/>
    <w:rsid w:val="00B71F65"/>
    <w:rsid w:val="1142016F"/>
    <w:rsid w:val="13B16CE7"/>
    <w:rsid w:val="1A246AFC"/>
    <w:rsid w:val="36453EFF"/>
    <w:rsid w:val="3A23599A"/>
    <w:rsid w:val="45C53DA9"/>
    <w:rsid w:val="51FD2B1C"/>
    <w:rsid w:val="5641747C"/>
    <w:rsid w:val="5BA5225B"/>
    <w:rsid w:val="62F92E8C"/>
    <w:rsid w:val="7544443B"/>
    <w:rsid w:val="7E6B2F46"/>
    <w:rsid w:val="FF571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目录 11"/>
    <w:basedOn w:val="1"/>
    <w:autoRedefine/>
    <w:qFormat/>
    <w:uiPriority w:val="0"/>
    <w:rPr>
      <w:szCs w:val="22"/>
    </w:rPr>
  </w:style>
  <w:style w:type="paragraph" w:customStyle="1" w:styleId="9">
    <w:name w:val="索引 61"/>
    <w:basedOn w:val="1"/>
    <w:autoRedefine/>
    <w:qFormat/>
    <w:uiPriority w:val="0"/>
    <w:pPr>
      <w:snapToGrid/>
      <w:spacing w:after="0"/>
      <w:jc w:val="both"/>
    </w:pPr>
    <w:rPr>
      <w:rFonts w:ascii="Calibri" w:hAnsi="Calibri" w:eastAsia="宋体"/>
      <w:kern w:val="2"/>
      <w:sz w:val="21"/>
      <w:szCs w:val="20"/>
    </w:rPr>
  </w:style>
  <w:style w:type="paragraph" w:customStyle="1" w:styleId="10">
    <w:name w:val="正文文本1"/>
    <w:basedOn w:val="1"/>
    <w:autoRedefine/>
    <w:qFormat/>
    <w:uiPriority w:val="0"/>
    <w:pPr>
      <w:spacing w:after="120"/>
    </w:pPr>
  </w:style>
  <w:style w:type="paragraph" w:customStyle="1" w:styleId="11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12">
    <w:name w:val="正文首行缩进 21"/>
    <w:basedOn w:val="11"/>
    <w:autoRedefine/>
    <w:qFormat/>
    <w:uiPriority w:val="0"/>
    <w:pPr>
      <w:ind w:firstLine="420" w:firstLineChars="200"/>
    </w:pPr>
  </w:style>
  <w:style w:type="paragraph" w:customStyle="1" w:styleId="13">
    <w:name w:val="正文首行缩进1"/>
    <w:basedOn w:val="10"/>
    <w:autoRedefine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5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6">
    <w:name w:val="图表目录1"/>
    <w:basedOn w:val="1"/>
    <w:autoRedefine/>
    <w:qFormat/>
    <w:uiPriority w:val="0"/>
    <w:pPr>
      <w:ind w:left="400" w:leftChars="200" w:hanging="200" w:hangingChars="1"/>
    </w:pPr>
  </w:style>
  <w:style w:type="paragraph" w:customStyle="1" w:styleId="17">
    <w:name w:val="普通(网站)1"/>
    <w:basedOn w:val="1"/>
    <w:autoRedefine/>
    <w:qFormat/>
    <w:uiPriority w:val="0"/>
    <w:rPr>
      <w:sz w:val="24"/>
    </w:rPr>
  </w:style>
  <w:style w:type="table" w:customStyle="1" w:styleId="18">
    <w:name w:val="网格型1"/>
    <w:basedOn w:val="7"/>
    <w:autoRedefine/>
    <w:qFormat/>
    <w:uiPriority w:val="0"/>
    <w:pPr>
      <w:widowControl w:val="0"/>
      <w:jc w:val="both"/>
    </w:pPr>
  </w:style>
  <w:style w:type="character" w:customStyle="1" w:styleId="19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0">
    <w:name w:val="font41"/>
    <w:basedOn w:val="6"/>
    <w:link w:val="1"/>
    <w:autoRedefine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2024-05-17T14:37:00Z</dcterms:created>
  <dc:creator>user</dc:creator>
  <cp:lastModifiedBy>工作室1</cp:lastModifiedBy>
  <dcterms:modified xsi:type="dcterms:W3CDTF">2024-05-17T08:39:03Z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BBA5A11F095F430E9E77D09BB2363F58_13</vt:lpwstr>
  </property>
</Properties>
</file>