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left"/>
        <w:outlineLvl w:val="9"/>
        <w:rPr>
          <w:rFonts w:ascii="Times New Roman" w:hAnsi="Times New Roman" w:eastAsia="黑体"/>
          <w:b w:val="0"/>
          <w:bCs w:val="0"/>
          <w:sz w:val="32"/>
          <w:szCs w:val="32"/>
          <w:lang w:eastAsia="zh-CN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left"/>
        <w:outlineLvl w:val="9"/>
        <w:rPr>
          <w:rFonts w:ascii="Times New Roman" w:hAnsi="Times New Roman" w:eastAsia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outlineLvl w:val="9"/>
        <w:rPr>
          <w:rFonts w:ascii="Times New Roman" w:hAnsi="Times New Roman" w:eastAsia="方正小标宋_GBK"/>
          <w:b/>
          <w:bCs/>
          <w:i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ascii="Times New Roman" w:hAnsi="Times New Roman" w:eastAsia="方正小标宋_GBK"/>
          <w:b/>
          <w:bCs/>
          <w:sz w:val="44"/>
          <w:szCs w:val="44"/>
          <w:lang w:eastAsia="zh-CN"/>
        </w:rPr>
        <w:t>《</w:t>
      </w:r>
      <w:r>
        <w:rPr>
          <w:rFonts w:ascii="Times New Roman" w:hAnsi="Times New Roman" w:eastAsia="方正小标宋_GBK"/>
          <w:b/>
          <w:bCs/>
          <w:i w:val="0"/>
          <w:color w:val="000000"/>
          <w:spacing w:val="0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="Times New Roman" w:hAnsi="Times New Roman" w:eastAsia="方正小标宋_GBK"/>
          <w:b/>
          <w:bCs/>
          <w:i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推进体育高质量发展</w:t>
      </w:r>
      <w:r>
        <w:rPr>
          <w:rFonts w:ascii="Times New Roman" w:hAnsi="Times New Roman" w:eastAsia="方正小标宋_GBK"/>
          <w:b/>
          <w:bCs/>
          <w:i w:val="0"/>
          <w:color w:val="000000"/>
          <w:spacing w:val="0"/>
          <w:sz w:val="44"/>
          <w:szCs w:val="44"/>
          <w:shd w:val="clear" w:color="auto" w:fill="FFFFFF"/>
          <w:lang w:eastAsia="zh-CN"/>
        </w:rPr>
        <w:t>的实施意见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outlineLvl w:val="9"/>
        <w:rPr>
          <w:rFonts w:ascii="Times New Roman" w:hAnsi="Times New Roman" w:eastAsia="方正小标宋_GBK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b/>
          <w:bCs/>
          <w:i w:val="0"/>
          <w:color w:val="000000"/>
          <w:spacing w:val="0"/>
          <w:sz w:val="44"/>
          <w:szCs w:val="44"/>
          <w:shd w:val="clear" w:color="auto" w:fill="FFFFFF"/>
          <w:lang w:eastAsia="zh-CN"/>
        </w:rPr>
        <w:t>（征求意见稿）</w:t>
      </w:r>
      <w:r>
        <w:rPr>
          <w:rFonts w:ascii="Times New Roman" w:hAnsi="Times New Roman" w:eastAsia="方正小标宋_GBK"/>
          <w:b/>
          <w:bCs/>
          <w:sz w:val="44"/>
          <w:szCs w:val="44"/>
          <w:lang w:eastAsia="zh-CN"/>
        </w:rPr>
        <w:t>》起草说明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left"/>
        <w:outlineLvl w:val="9"/>
        <w:rPr>
          <w:rFonts w:ascii="Times New Roman" w:hAnsi="Times New Roman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left"/>
        <w:outlineLvl w:val="9"/>
        <w:rPr>
          <w:rFonts w:ascii="Times New Roman" w:hAnsi="Times New Roman" w:eastAsia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left"/>
        <w:outlineLvl w:val="9"/>
        <w:rPr>
          <w:rFonts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  <w:lang w:val="en-US" w:eastAsia="zh-CN"/>
        </w:rPr>
        <w:t xml:space="preserve">    现将《关于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推进体育高质量发展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的实施意见》（以下简称《实施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意见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》）起草情况作如下说明。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jc w:val="left"/>
        <w:outlineLvl w:val="9"/>
        <w:rPr>
          <w:rFonts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jc w:val="left"/>
        <w:outlineLvl w:val="9"/>
        <w:rPr>
          <w:rFonts w:hint="eastAsia" w:ascii="Times New Roman" w:hAnsi="Times New Roman" w:eastAsia="仿宋_GB2312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党的十九届五中全会明确了2035年建成体育强国的目标，国务院办公厅于2019年8月印发了《体育强国建设纲要》，四川省人民政府也于2022年10月印发了《关于加快推进新时代现代化体育强省建设的实施意见》。2024年1月30日，四川省召开省委推进体育强省建设座谈会。强调“要深入学习贯彻习近平总书记关于体育的重要论述，把发展体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-SA"/>
        </w:rPr>
        <w:t>育事业摆在全省工作重要位置来抓，推动群众体育、竞技体育、体育产业协调发展，一步一个脚印扎实推进体育强省建设，更好造福人民群众、促进人的全面发展”。为深入贯彻落实体育强国、体育强省建设部署</w:t>
      </w:r>
      <w:r>
        <w:rPr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-SA"/>
        </w:rPr>
        <w:t>结合巴中市当前体育事业和体育产业发展现状，经过深入研判，起草了《实施意见》。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jc w:val="left"/>
        <w:outlineLvl w:val="9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jc w:val="left"/>
        <w:outlineLvl w:val="9"/>
        <w:rPr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到202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-SA"/>
        </w:rPr>
        <w:t>7</w:t>
      </w:r>
      <w:r>
        <w:rPr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年，全市人均体育场地面积达到3.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-SA"/>
        </w:rPr>
        <w:t>55</w:t>
      </w:r>
      <w:r>
        <w:rPr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平方米以上，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-SA"/>
        </w:rPr>
        <w:t>经常参加体育锻炼的人数比例达到42.2%，城乡居民《国民体质测定标准》合格以上的人数比例达到92.6%。规上体育企业达到6家，体育产业总规模达到5亿元。</w:t>
      </w:r>
      <w:r>
        <w:rPr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全市全民健身公共服务体系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-SA"/>
        </w:rPr>
        <w:t>逐步</w:t>
      </w:r>
      <w:r>
        <w:rPr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健全，广大市民健身意识不断增强，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-SA"/>
        </w:rPr>
        <w:t>竞技体育综合实力显著提升，</w:t>
      </w:r>
      <w:r>
        <w:rPr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全社会热爱运动新风尚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-SA"/>
        </w:rPr>
        <w:t>基本</w:t>
      </w:r>
      <w:r>
        <w:rPr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形成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-SA"/>
        </w:rPr>
        <w:t>，做响“运动巴中”全民健身品牌。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jc w:val="left"/>
        <w:outlineLvl w:val="9"/>
        <w:rPr>
          <w:rFonts w:hint="eastAsia" w:ascii="Times New Roman" w:hAnsi="Times New Roman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/>
          <w:b w:val="0"/>
          <w:bCs w:val="0"/>
          <w:sz w:val="32"/>
          <w:szCs w:val="32"/>
          <w:lang w:eastAsia="zh-CN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jc w:val="left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《实施意见》全文共四部分，第一部分为总体要求，第二部分为重点任务，第三部分为保障措施，第四部分为2024年重点事项。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jc w:val="left"/>
        <w:outlineLvl w:val="9"/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  <w:t>第一部分：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总体要求</w:t>
      </w:r>
      <w:r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主要内容为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推进体育高质量发展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应坚持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以习近平新时代中国特色社会主义思想为指导，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认真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落实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全民健身国家战略和中央、省关于体育工作的系列决策部署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围绕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满足人民美好生活需要为根本目的，推动群众体育、竞技体育、青少年体育、体育产业协调发展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，努力实现巴中体育事业和体育产业健康发展、高质量发展</w:t>
      </w:r>
      <w:r>
        <w:rPr>
          <w:rFonts w:ascii="Times New Roman" w:hAnsi="Times New Roman" w:eastAsia="仿宋_GB2312"/>
          <w:sz w:val="32"/>
          <w:szCs w:val="32"/>
          <w:lang w:val="en-US" w:eastAsia="zh-CN"/>
        </w:rPr>
        <w:t>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到202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7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年，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全市人均体育场地面积达到3.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55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平方米以上，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经常参加体育锻炼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的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人数比例达到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42.2%，城乡居民《国民体质测定标准》合格以上的人数比例达到92.6%。规上体育企业达到6家，体育产业总规模达到5亿元。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jc w:val="left"/>
        <w:outlineLvl w:val="9"/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  <w:t>部分：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重点任务</w:t>
      </w:r>
      <w:r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主要为实施六大提升行动。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jc w:val="left"/>
        <w:outlineLvl w:val="9"/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一是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实施补短行动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。统筹建设健身场地设施。推动社区“家门口”运动空间建设，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充分利用公园绿地、废旧厂房、建筑屋顶、桥下空间、城市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金角银边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剩余空间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打造健身新空间。提升居住区体育场地设施配套，全面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落实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室内人均建筑面积不低于0.1平方米或室外人均用地不低于0.3平方米标准配套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建设公共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健身设施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jc w:val="left"/>
        <w:outlineLvl w:val="9"/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二是实施健身行动。丰富全民健身活动，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大力开展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“国球进社区”“国球进公园”活动和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徒步、路跑、骑行、棋牌、门球、体育舞蹈等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群众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喜闻乐见的运动项目。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强化老幼体育健身活动，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多形式开展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 w:bidi="ar"/>
        </w:rPr>
        <w:t>太极拳（剑）、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 w:bidi="ar"/>
        </w:rPr>
        <w:t>广场舞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 w:bidi="ar"/>
        </w:rPr>
        <w:t>等适老健身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 w:bidi="ar"/>
        </w:rPr>
        <w:t>活动，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创新开展亲子运动会、幼儿体育展示大会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、幼儿体育游戏等活动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深化体教融合。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jc w:val="left"/>
        <w:outlineLvl w:val="9"/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三是实施提质行动。做强体育社会组织，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做实市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、县（区）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级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体育单项协会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推进县（区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）级体育总会或体育联合会全覆盖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鼓励通过政府购买服务等方式，引导社会组织承接公益性体育赛事和培训项目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提升健身指导服务质效。提高体育场馆开放水平，推进学校体育场馆和公共体育场馆双向开放，做到应开尽开。提升公共体育场馆智慧化水平。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jc w:val="left"/>
        <w:outlineLvl w:val="9"/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四是实施育新行动。完善科学训练体系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优化竞技项目布局，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巩固发展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跆拳道、举重、拳击、武术套路、武术散打等优势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项目，加快发展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田径、国际式摔跤、柔道等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潜优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项目，提升发展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三大球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”“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三小球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”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普及项目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。做精体育赛事活动，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通过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引进举办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群众参与性强、市场化程度高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的体育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赛事活动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满足群众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/>
        </w:rPr>
        <w:t>多元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观赛需求，提高区域发展知名度、美誉度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jc w:val="left"/>
        <w:outlineLvl w:val="9"/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五是实施攻坚行动。构建体育产业发展体系，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形成以健身休闲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/>
        </w:rPr>
        <w:t>竞赛表演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</w:rPr>
        <w:t>和服务业融合发展的体育产业体系。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shd w:val="clear" w:color="auto" w:fill="auto"/>
          <w:lang w:val="en-US" w:eastAsia="zh-CN"/>
        </w:rPr>
        <w:t>激化体育市场主体活力，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</w:rPr>
        <w:t>加大对体育企业发展的政策扶持力度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。促进体育产业融合发展，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实施体育赛事+街区、体育赛事+商圈、体育赛事+餐饮行动，拓展体育健身、体育观赛、体育培训等消费新空间、新场景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、新体验。发展体育文化创意产业，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依托重大品牌赛事和特色体育活动，打造一批富有巴中特色的体育文创IP和产品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jc w:val="left"/>
        <w:outlineLvl w:val="9"/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六是实施传播行动。培育巴中体育文化，塑造“运动巴中”体育品牌，并与现代体育文化相结合，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提炼富有特色的巴中体育文化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LOGO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加强体育交流合作，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深化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国际交流，加强成巴合作、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巴渝互动、东西部协作（对口帮扶）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在体育赛事举办、人才培养、品牌打造、营销策划、场馆运营等方面深度合作，建立互补的体育产业联盟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、城市融媒宣传联盟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，增强区域间体育交流和对外影响力。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  <w:t>部分：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保障措施</w:t>
      </w:r>
      <w:r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一是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强化组织保障。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将体育工作纳入重要议事日程，对标重点任务，充分履职尽责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，细化工作举措，形成工作合力。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健全全民健身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工作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联席会议制度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加强对重点工作落实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情况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的调度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ascii="Times New Roman" w:hAnsi="Times New Roman" w:eastAsia="仿宋_GB2312"/>
          <w:color w:val="000000"/>
          <w:kern w:val="0"/>
          <w:sz w:val="32"/>
          <w:lang w:val="en-US" w:eastAsia="zh-CN"/>
        </w:rPr>
        <w:t>建立健全体育事业产业发展机制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。对支持和参与全民健身、在落实体育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高质量发展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实施意见中作出突出贡献的组织机构和个人进行表扬。</w:t>
      </w: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二是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强化政策保障。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设立促进体育发展专项资金，市、县（区）将全民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健身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经费、青少年参加体育竞赛经费列入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本级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财政预算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实施体育企业梯度培育行动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出台支持体育产业高质量发展扶持奖励措施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市、县（区）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安排土地利用年度计划指标要优先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保障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省、市重点体育类项目用地。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体育彩票公益金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只能用于体育项目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，增加体育信贷产品。</w:t>
      </w: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三是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强化人才保障。</w:t>
      </w:r>
      <w:r>
        <w:rPr>
          <w:rFonts w:ascii="Times New Roman" w:hAnsi="Times New Roman" w:eastAsia="仿宋_GB2312"/>
          <w:color w:val="000000"/>
          <w:kern w:val="0"/>
          <w:sz w:val="32"/>
          <w:lang w:val="en-US" w:eastAsia="zh-CN"/>
        </w:rPr>
        <w:t>完善符合体育行业特点的人才机制、激励机制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eastAsia="zh-CN"/>
        </w:rPr>
        <w:t>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支持符合条件的体育高层次人才申报省、市级重大人才计划。对符合条件的体育高层次人才可按规定实行绩效工资单列薪酬管理。业绩特别突出、作出重大贡献的体育人才可按规定破格申报职称。符合条件的高水平退役运动员可按规定通过考核招聘进入事业单位，从事体育教学、训练工作。建立急需紧缺体育专业技术人才引进和评价绿色通道，支持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</w:rPr>
        <w:t>选派重点项目、重点领域专业人才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到国省高水平体育机构深造，培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养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和引进懂外交礼仪、具有多语言交流能力的复合型人才。</w:t>
      </w:r>
      <w:r>
        <w:rPr>
          <w:rFonts w:hint="eastAsia"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四是</w:t>
      </w:r>
      <w:r>
        <w:rPr>
          <w:rFonts w:ascii="Times New Roman" w:hAnsi="Times New Roman" w:eastAsia="仿宋_GB2312"/>
          <w:b/>
          <w:bCs/>
          <w:color w:val="000000"/>
          <w:spacing w:val="0"/>
          <w:kern w:val="0"/>
          <w:sz w:val="32"/>
          <w:szCs w:val="24"/>
          <w:lang w:val="en-US" w:eastAsia="zh-CN"/>
        </w:rPr>
        <w:t>强化宣传引导。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充分利用广播、电视、互联网、报纸及新媒体等各类宣传阵地，开辟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体育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工作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宣传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专题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和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专栏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。培养熟悉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lang w:val="en-US" w:eastAsia="zh-CN"/>
        </w:rPr>
        <w:t>体育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</w:rPr>
        <w:t>运动项目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lang w:val="en-US" w:eastAsia="zh-CN"/>
        </w:rPr>
        <w:t>且具有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</w:rPr>
        <w:t>体育解说评论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lang w:val="en-US" w:eastAsia="zh-CN"/>
        </w:rPr>
        <w:t>能力的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</w:rPr>
        <w:t>体育节目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lang w:eastAsia="zh-CN"/>
        </w:rPr>
        <w:t>、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lang w:val="en-US" w:eastAsia="zh-CN"/>
        </w:rPr>
        <w:t>活动</w:t>
      </w:r>
      <w:r>
        <w:rPr>
          <w:rFonts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</w:rPr>
        <w:t>主持</w:t>
      </w:r>
      <w:r>
        <w:rPr>
          <w:rFonts w:hint="eastAsia" w:ascii="Times New Roman" w:hAnsi="Times New Roman" w:eastAsia="仿宋_GB2312"/>
          <w:i w:val="0"/>
          <w:iCs w:val="0"/>
          <w:color w:val="000000"/>
          <w:spacing w:val="0"/>
          <w:kern w:val="0"/>
          <w:sz w:val="32"/>
          <w:szCs w:val="24"/>
          <w:lang w:val="en-US" w:eastAsia="zh-CN"/>
        </w:rPr>
        <w:t>人和新闻记者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，积极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倡导科学健身理念，弘扬中华体育精神和奥林匹克精神，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讲好体育故事。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jc w:val="left"/>
        <w:outlineLvl w:val="9"/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  <w:t>部分：</w:t>
      </w: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重点事项</w:t>
      </w:r>
      <w:r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对应“6</w:t>
      </w:r>
      <w:r>
        <w:rPr>
          <w:rFonts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大行动</w:t>
      </w:r>
      <w:r>
        <w:rPr>
          <w:rFonts w:hint="eastAsia" w:ascii="Times New Roman" w:hAnsi="Times New Roman" w:eastAsia="仿宋_GB2312"/>
          <w:b w:val="0"/>
          <w:bCs w:val="0"/>
          <w:color w:val="000000"/>
          <w:spacing w:val="0"/>
          <w:kern w:val="0"/>
          <w:sz w:val="32"/>
          <w:szCs w:val="24"/>
          <w:lang w:val="en-US" w:eastAsia="zh-CN"/>
        </w:rPr>
        <w:t>”“20个重点任务”及4个保障措施，罗列了20项2024年度巴中体育高质量发展重点事项，明确了完成时限和责任单位。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jc w:val="left"/>
        <w:outlineLvl w:val="9"/>
        <w:rPr>
          <w:rFonts w:hint="eastAsia" w:ascii="Times New Roman" w:hAnsi="Times New Roman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z w:val="32"/>
          <w:szCs w:val="32"/>
          <w:lang w:val="en-US" w:eastAsia="zh-CN"/>
        </w:rPr>
        <w:t>四、发文计划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/>
        <w:bidi w:val="0"/>
        <w:snapToGrid/>
        <w:spacing w:after="0" w:line="560" w:lineRule="exact"/>
        <w:ind w:firstLine="643" w:firstLineChars="200"/>
        <w:jc w:val="left"/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b/>
          <w:bCs/>
          <w:sz w:val="32"/>
          <w:szCs w:val="32"/>
          <w:lang w:val="en-US" w:eastAsia="zh-CN"/>
        </w:rPr>
        <w:t>关于发文形式：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-SA"/>
        </w:rPr>
        <w:t>计划按程序审定后，以市委办公室、市人民政府办公室名义印发。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N/>
        <w:bidi w:val="0"/>
        <w:snapToGrid/>
        <w:spacing w:line="560" w:lineRule="exact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  <w:t>关于印发范围：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-SA"/>
        </w:rPr>
        <w:t>拟发</w:t>
      </w:r>
      <w:r>
        <w:rPr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各县（区）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-SA"/>
        </w:rPr>
        <w:t>党委和</w:t>
      </w:r>
      <w:r>
        <w:rPr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人民政府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ascii="Times New Roman" w:hAnsi="Times New Roman" w:eastAsia="仿宋_GB2312"/>
          <w:sz w:val="32"/>
          <w:szCs w:val="32"/>
        </w:rPr>
        <w:t>巴中经开区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、文旅示范区</w:t>
      </w:r>
      <w:r>
        <w:rPr>
          <w:rFonts w:ascii="Times New Roman" w:hAnsi="Times New Roman" w:eastAsia="仿宋_GB2312"/>
          <w:sz w:val="32"/>
          <w:szCs w:val="32"/>
        </w:rPr>
        <w:t>，市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级各</w:t>
      </w:r>
      <w:r>
        <w:rPr>
          <w:rFonts w:ascii="Times New Roman" w:hAnsi="Times New Roman" w:eastAsia="仿宋_GB2312"/>
          <w:sz w:val="32"/>
          <w:szCs w:val="32"/>
        </w:rPr>
        <w:t>部门</w:t>
      </w:r>
      <w:r>
        <w:rPr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jc w:val="left"/>
        <w:outlineLvl w:val="9"/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b/>
          <w:bCs/>
          <w:sz w:val="32"/>
          <w:szCs w:val="32"/>
          <w:lang w:val="en-US" w:eastAsia="zh-CN"/>
        </w:rPr>
        <w:t>关于公开事项：</w:t>
      </w:r>
      <w:r>
        <w:rPr>
          <w:rFonts w:ascii="Times New Roman" w:hAnsi="Times New Roman" w:eastAsia="仿宋_GB2312"/>
          <w:kern w:val="2"/>
          <w:sz w:val="32"/>
          <w:szCs w:val="32"/>
          <w:lang w:val="en-US" w:eastAsia="zh-CN" w:bidi="ar-SA"/>
        </w:rPr>
        <w:t>拟主动公开。</w:t>
      </w:r>
    </w:p>
    <w:sectPr>
      <w:footerReference r:id="rId3" w:type="default"/>
      <w:pgSz w:w="11906" w:h="16838"/>
      <w:pgMar w:top="1701" w:right="1587" w:bottom="1701" w:left="1587" w:header="851" w:footer="1587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ZDc0OTNjMTkwNGUyMjE0NDE5OGJiNzVhOWZhYWIifQ=="/>
  </w:docVars>
  <w:rsids>
    <w:rsidRoot w:val="00000000"/>
    <w:rsid w:val="01AD5116"/>
    <w:rsid w:val="078D4884"/>
    <w:rsid w:val="32C96493"/>
    <w:rsid w:val="380174EA"/>
    <w:rsid w:val="47BE4776"/>
    <w:rsid w:val="522105B9"/>
    <w:rsid w:val="68F87B91"/>
    <w:rsid w:val="7A5A20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默认段落字体1"/>
    <w:link w:val="1"/>
    <w:semiHidden/>
    <w:uiPriority w:val="0"/>
  </w:style>
  <w:style w:type="table" w:customStyle="1" w:styleId="7">
    <w:name w:val="普通表格1"/>
    <w:semiHidden/>
    <w:uiPriority w:val="0"/>
  </w:style>
  <w:style w:type="paragraph" w:customStyle="1" w:styleId="8">
    <w:name w:val="索引 61"/>
    <w:basedOn w:val="1"/>
    <w:uiPriority w:val="0"/>
    <w:pPr>
      <w:snapToGrid/>
      <w:spacing w:after="0"/>
      <w:jc w:val="both"/>
    </w:pPr>
    <w:rPr>
      <w:rFonts w:ascii="Calibri" w:hAnsi="Calibri" w:eastAsia="宋体"/>
      <w:kern w:val="2"/>
      <w:sz w:val="21"/>
      <w:szCs w:val="20"/>
    </w:rPr>
  </w:style>
  <w:style w:type="paragraph" w:customStyle="1" w:styleId="9">
    <w:name w:val="正文文本1"/>
    <w:basedOn w:val="1"/>
    <w:autoRedefine/>
    <w:qFormat/>
    <w:uiPriority w:val="0"/>
    <w:pPr>
      <w:spacing w:after="120"/>
    </w:pPr>
  </w:style>
  <w:style w:type="paragraph" w:customStyle="1" w:styleId="10">
    <w:name w:val="正文文本缩进1"/>
    <w:basedOn w:val="1"/>
    <w:autoRedefine/>
    <w:qFormat/>
    <w:uiPriority w:val="0"/>
    <w:pPr>
      <w:ind w:left="420" w:leftChars="200"/>
    </w:pPr>
  </w:style>
  <w:style w:type="paragraph" w:customStyle="1" w:styleId="11">
    <w:name w:val="正文首行缩进 21"/>
    <w:basedOn w:val="10"/>
    <w:autoRedefine/>
    <w:qFormat/>
    <w:uiPriority w:val="0"/>
    <w:pPr>
      <w:ind w:firstLine="420" w:firstLineChars="200"/>
    </w:pPr>
  </w:style>
  <w:style w:type="paragraph" w:customStyle="1" w:styleId="12">
    <w:name w:val="正文首行缩进1"/>
    <w:basedOn w:val="9"/>
    <w:autoRedefine/>
    <w:qFormat/>
    <w:uiPriority w:val="0"/>
    <w:pPr>
      <w:ind w:firstLine="200" w:firstLineChars="200"/>
    </w:pPr>
    <w:rPr>
      <w:rFonts w:ascii="Times New Roman" w:hAnsi="Times New Roman"/>
    </w:rPr>
  </w:style>
  <w:style w:type="paragraph" w:customStyle="1" w:styleId="13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页眉1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5">
    <w:name w:val="目录 11"/>
    <w:basedOn w:val="1"/>
    <w:autoRedefine/>
    <w:qFormat/>
    <w:uiPriority w:val="0"/>
    <w:rPr>
      <w:szCs w:val="22"/>
    </w:rPr>
  </w:style>
  <w:style w:type="paragraph" w:customStyle="1" w:styleId="16">
    <w:name w:val="图表目录1"/>
    <w:basedOn w:val="1"/>
    <w:autoRedefine/>
    <w:qFormat/>
    <w:uiPriority w:val="0"/>
    <w:pPr>
      <w:ind w:left="400" w:leftChars="200" w:hanging="200" w:hangingChars="200"/>
    </w:pPr>
  </w:style>
  <w:style w:type="paragraph" w:customStyle="1" w:styleId="17">
    <w:name w:val="普通(网站)1"/>
    <w:basedOn w:val="1"/>
    <w:autoRedefine/>
    <w:qFormat/>
    <w:uiPriority w:val="0"/>
    <w:rPr>
      <w:sz w:val="24"/>
    </w:rPr>
  </w:style>
  <w:style w:type="table" w:customStyle="1" w:styleId="18">
    <w:name w:val="网格型1"/>
    <w:basedOn w:val="7"/>
    <w:autoRedefine/>
    <w:qFormat/>
    <w:uiPriority w:val="0"/>
    <w:pPr>
      <w:widowControl w:val="0"/>
      <w:jc w:val="both"/>
    </w:pPr>
  </w:style>
  <w:style w:type="character" w:customStyle="1" w:styleId="19">
    <w:name w:val="超链接1"/>
    <w:basedOn w:val="6"/>
    <w:link w:val="1"/>
    <w:autoRedefine/>
    <w:qFormat/>
    <w:uiPriority w:val="0"/>
    <w:rPr>
      <w:color w:val="0000FF"/>
      <w:u w:val="single"/>
    </w:rPr>
  </w:style>
  <w:style w:type="character" w:customStyle="1" w:styleId="20">
    <w:name w:val="font41"/>
    <w:basedOn w:val="6"/>
    <w:link w:val="1"/>
    <w:autoRedefine/>
    <w:qFormat/>
    <w:uiPriority w:val="0"/>
    <w:rPr>
      <w:rFonts w:hint="eastAsia" w:ascii="仿宋_GB2312" w:eastAsia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2024-05-17T07:55:00Z</dcterms:created>
  <dc:creator>杨玲</dc:creator>
  <cp:lastModifiedBy>工作室1</cp:lastModifiedBy>
  <dcterms:modified xsi:type="dcterms:W3CDTF">2024-05-17T08:37:44Z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029B764CCDA048149DFE167F9233C10C_13</vt:lpwstr>
  </property>
</Properties>
</file>