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rPr>
          <w:rFonts w:eastAsia="方正仿宋_GBK" w:cs="Times New Roman"/>
          <w:sz w:val="32"/>
          <w:szCs w:val="32"/>
          <w:lang w:bidi="ar-SA"/>
        </w:rPr>
      </w:pPr>
      <w:r>
        <w:rPr>
          <w:rFonts w:hint="default" w:ascii="Times New Roman" w:hAnsi="Times New Roman" w:eastAsia="方正黑体_GBK" w:cs="Times New Roman"/>
          <w:sz w:val="32"/>
          <w:szCs w:val="32"/>
          <w:lang w:bidi="ar-SA"/>
        </w:rPr>
        <w:t>附件1</w:t>
      </w:r>
    </w:p>
    <w:p>
      <w:pPr>
        <w:spacing w:line="560" w:lineRule="exact"/>
        <w:ind w:left="0"/>
        <w:rPr>
          <w:rFonts w:eastAsia="方正仿宋_GBK" w:cs="Times New Roman"/>
          <w:sz w:val="32"/>
          <w:szCs w:val="32"/>
          <w:lang w:bidi="ar-SA"/>
        </w:rPr>
      </w:pPr>
    </w:p>
    <w:p>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巴中市</w:t>
      </w:r>
      <w:bookmarkStart w:id="0" w:name="_GoBack"/>
      <w:bookmarkEnd w:id="0"/>
      <w:r>
        <w:rPr>
          <w:rFonts w:ascii="Times New Roman" w:hAnsi="Times New Roman" w:eastAsia="方正小标宋_GBK"/>
          <w:sz w:val="44"/>
          <w:szCs w:val="44"/>
        </w:rPr>
        <w:t>贯彻落实“天府粮仓·百县千片”建设行动工作方案</w:t>
      </w:r>
    </w:p>
    <w:p>
      <w:pPr>
        <w:spacing w:line="560" w:lineRule="exact"/>
        <w:jc w:val="center"/>
        <w:rPr>
          <w:rFonts w:hint="eastAsia" w:ascii="方正楷体_GBK" w:eastAsia="方正楷体_GBK"/>
          <w:b/>
          <w:bCs/>
          <w:sz w:val="32"/>
          <w:szCs w:val="32"/>
        </w:rPr>
      </w:pPr>
      <w:r>
        <w:rPr>
          <w:rFonts w:hint="eastAsia" w:ascii="方正楷体_GBK" w:eastAsia="方正楷体_GBK"/>
          <w:b/>
          <w:bCs/>
          <w:sz w:val="32"/>
          <w:szCs w:val="32"/>
        </w:rPr>
        <w:t>（征求意见稿）</w:t>
      </w:r>
    </w:p>
    <w:p>
      <w:pPr>
        <w:spacing w:line="56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为全面贯彻落实《四川省人民政府办公厅关于转发农业农村厅&lt;“天府粮仓·百县千片”建设行动方案（2024—2026）&gt;的通知》（川办函〔2024〕24号）、《关于组织开展“天府粮仓·百县千片”高产竞赛的通知》（川农发〔2024〕6号）要求，高标准、高水平、高质量推动“天府粮仓·百县千片”建设，结合巴中实际，特制定本方案。</w:t>
      </w:r>
    </w:p>
    <w:p>
      <w:pPr>
        <w:spacing w:line="580" w:lineRule="exact"/>
        <w:ind w:firstLine="594" w:firstLineChars="200"/>
        <w:rPr>
          <w:rFonts w:ascii="Times New Roman" w:hAnsi="Times New Roman" w:eastAsia="方正仿宋_GBK"/>
          <w:sz w:val="32"/>
          <w:szCs w:val="32"/>
        </w:rPr>
      </w:pPr>
      <w:r>
        <w:rPr>
          <w:rFonts w:ascii="Times New Roman" w:hAnsi="Times New Roman" w:eastAsia="方正黑体_GBK"/>
          <w:sz w:val="32"/>
          <w:szCs w:val="32"/>
        </w:rPr>
        <w:t>一、建设布局</w:t>
      </w:r>
    </w:p>
    <w:p>
      <w:pPr>
        <w:spacing w:line="580" w:lineRule="exact"/>
        <w:ind w:firstLine="633"/>
        <w:rPr>
          <w:rFonts w:ascii="Times New Roman" w:hAnsi="Times New Roman" w:eastAsia="方正仿宋_GBK"/>
          <w:sz w:val="32"/>
          <w:szCs w:val="32"/>
        </w:rPr>
      </w:pPr>
      <w:r>
        <w:rPr>
          <w:rFonts w:ascii="Times New Roman" w:hAnsi="Times New Roman" w:eastAsia="方正仿宋_GBK"/>
          <w:sz w:val="32"/>
          <w:szCs w:val="32"/>
        </w:rPr>
        <w:t>按照“相对固定县、滚动发展片”的思路布局，聚焦小麦、玉米、水稻、油菜等主要作物，突出丘陵山区旱作农业优势，因地制宜确定巴中市“天府粮仓·百县千片”作物种类和建设范围。2024年，全市建设61个粮油千亩高产片，其中巴州区10个、恩阳区12个、南江县12个、通江县15个、平昌县12个；建设百亩超高产攻关片26个，其中巴州区5个、恩阳区5个、南江县5个、通江县6个、平昌县5个（详见附件1-1）。</w:t>
      </w:r>
    </w:p>
    <w:p>
      <w:pPr>
        <w:spacing w:line="580" w:lineRule="exact"/>
        <w:ind w:firstLine="594" w:firstLineChars="200"/>
        <w:rPr>
          <w:rFonts w:ascii="Times New Roman" w:hAnsi="Times New Roman" w:eastAsia="方正仿宋_GBK"/>
          <w:sz w:val="32"/>
          <w:szCs w:val="32"/>
        </w:rPr>
      </w:pPr>
      <w:r>
        <w:rPr>
          <w:rFonts w:ascii="Times New Roman" w:hAnsi="Times New Roman" w:eastAsia="方正黑体_GBK"/>
          <w:sz w:val="32"/>
          <w:szCs w:val="32"/>
        </w:rPr>
        <w:t>二、建设目标</w:t>
      </w:r>
    </w:p>
    <w:p>
      <w:pPr>
        <w:spacing w:line="580" w:lineRule="exact"/>
        <w:ind w:firstLine="594" w:firstLineChars="200"/>
        <w:rPr>
          <w:rFonts w:ascii="Times New Roman" w:hAnsi="Times New Roman" w:eastAsia="方正楷体_GBK"/>
          <w:b/>
          <w:bCs/>
          <w:color w:val="000000"/>
          <w:sz w:val="32"/>
          <w:szCs w:val="32"/>
        </w:rPr>
      </w:pPr>
      <w:r>
        <w:rPr>
          <w:rFonts w:ascii="Times New Roman" w:hAnsi="Times New Roman" w:eastAsia="方正仿宋_GBK"/>
          <w:color w:val="000000"/>
          <w:sz w:val="32"/>
          <w:szCs w:val="32"/>
        </w:rPr>
        <w:t>2024—2026年，力争每年有1个县（区）、1个单位（团队）、3个规模经营主体获得省级表扬激励，力争粮食和油菜千亩高产片平均单产每年分别高出各县（区）平均单产10%、5%以上，带动全市粮食作物平均单产每年提高3公斤以上、总产量每年增加2万吨以上，带动全市油菜产量保持稳定增长。</w:t>
      </w:r>
    </w:p>
    <w:p>
      <w:pPr>
        <w:spacing w:line="580" w:lineRule="exact"/>
        <w:ind w:firstLine="644"/>
        <w:rPr>
          <w:rFonts w:ascii="Times New Roman" w:hAnsi="Times New Roman" w:eastAsia="方正黑体_GBK"/>
          <w:sz w:val="32"/>
          <w:szCs w:val="32"/>
        </w:rPr>
      </w:pPr>
      <w:r>
        <w:rPr>
          <w:rFonts w:ascii="Times New Roman" w:hAnsi="Times New Roman" w:eastAsia="方正黑体_GBK"/>
          <w:sz w:val="32"/>
          <w:szCs w:val="32"/>
        </w:rPr>
        <w:t>三、建设内容</w:t>
      </w:r>
    </w:p>
    <w:p>
      <w:pPr>
        <w:spacing w:line="580" w:lineRule="exact"/>
        <w:ind w:firstLine="644"/>
        <w:rPr>
          <w:rFonts w:ascii="Times New Roman" w:hAnsi="Times New Roman" w:eastAsia="方正仿宋_GBK"/>
          <w:sz w:val="32"/>
          <w:szCs w:val="32"/>
        </w:rPr>
      </w:pPr>
      <w:r>
        <w:rPr>
          <w:rFonts w:ascii="Times New Roman" w:hAnsi="Times New Roman" w:eastAsia="方正楷体_GBK"/>
          <w:b/>
          <w:bCs/>
          <w:sz w:val="32"/>
          <w:szCs w:val="32"/>
        </w:rPr>
        <w:t>（一）聚焦关键要素，创建“百县千片”。</w:t>
      </w:r>
      <w:r>
        <w:rPr>
          <w:rFonts w:ascii="Times New Roman" w:hAnsi="Times New Roman" w:eastAsia="方正仿宋_GBK"/>
          <w:b/>
          <w:bCs/>
          <w:sz w:val="32"/>
          <w:szCs w:val="32"/>
        </w:rPr>
        <w:t>一是优化区域布局。</w:t>
      </w:r>
      <w:r>
        <w:rPr>
          <w:rFonts w:ascii="Times New Roman" w:hAnsi="Times New Roman" w:eastAsia="方正仿宋_GBK"/>
          <w:sz w:val="32"/>
          <w:szCs w:val="32"/>
        </w:rPr>
        <w:t>立足各地资源禀赋、生产基础和产业发展现状，统筹兼顾粮油高产区和中低产区，科学规划布局粮油千亩高产片、百亩超高产攻关片，优先选择领导力度大、推广能力强、业主积极性高、生产基础好、相对集中连片的粮油生产重点乡镇、村（社区）整建制推进。</w:t>
      </w:r>
      <w:r>
        <w:rPr>
          <w:rFonts w:ascii="Times New Roman" w:hAnsi="Times New Roman" w:eastAsia="方正仿宋_GBK"/>
          <w:b/>
          <w:bCs/>
          <w:sz w:val="32"/>
          <w:szCs w:val="32"/>
        </w:rPr>
        <w:t>二是统一技术标准。</w:t>
      </w:r>
      <w:r>
        <w:rPr>
          <w:rFonts w:ascii="Times New Roman" w:hAnsi="Times New Roman" w:eastAsia="方正仿宋_GBK"/>
          <w:sz w:val="32"/>
          <w:szCs w:val="32"/>
        </w:rPr>
        <w:t>坚持良田粮用，新建高标准农田全部用于粮食生产。坚持标准化推进，强化主推品种、农机、农技组装配套和集成创新，做到统一种植品种、统一物资供应、统一技术路线、统一指导服务、统一田间管理“五统一”，切实推动良田、良种、良机、良技融合发展。</w:t>
      </w:r>
      <w:r>
        <w:rPr>
          <w:rFonts w:ascii="Times New Roman" w:hAnsi="Times New Roman" w:eastAsia="方正仿宋_GBK"/>
          <w:b/>
          <w:bCs/>
          <w:sz w:val="32"/>
          <w:szCs w:val="32"/>
        </w:rPr>
        <w:t>三是聚力高产攻关。</w:t>
      </w:r>
      <w:r>
        <w:rPr>
          <w:rFonts w:ascii="Times New Roman" w:hAnsi="Times New Roman" w:eastAsia="方正仿宋_GBK"/>
          <w:sz w:val="32"/>
          <w:szCs w:val="32"/>
        </w:rPr>
        <w:t>支持县（区）农技推广单位与省市科研单位、大专院校、有关企业等组成各作物组别超高产攻关团队，聚合农技、种子、植保、土肥、农机、气象等各领域力量，开展超高产技术攻关，着力将粮油中低产区提升为高产区、高产区打造成样板区，示范带动大面积均衡增产。</w:t>
      </w:r>
    </w:p>
    <w:p>
      <w:pPr>
        <w:spacing w:line="580" w:lineRule="exact"/>
        <w:ind w:firstLine="644"/>
        <w:rPr>
          <w:rFonts w:ascii="Times New Roman" w:hAnsi="Times New Roman" w:eastAsia="方正仿宋_GBK"/>
          <w:sz w:val="32"/>
          <w:szCs w:val="32"/>
        </w:rPr>
      </w:pPr>
      <w:r>
        <w:rPr>
          <w:rFonts w:ascii="Times New Roman" w:hAnsi="Times New Roman" w:eastAsia="方正楷体_GBK"/>
          <w:b/>
          <w:bCs/>
          <w:sz w:val="32"/>
          <w:szCs w:val="32"/>
        </w:rPr>
        <w:t>（二）聚焦政策服务，培育规模主体。</w:t>
      </w:r>
      <w:r>
        <w:rPr>
          <w:rFonts w:ascii="Times New Roman" w:hAnsi="Times New Roman" w:eastAsia="方正仿宋_GBK"/>
          <w:b/>
          <w:bCs/>
          <w:sz w:val="32"/>
          <w:szCs w:val="32"/>
        </w:rPr>
        <w:t>一是落实惠农政策。</w:t>
      </w:r>
      <w:r>
        <w:rPr>
          <w:rFonts w:ascii="Times New Roman" w:hAnsi="Times New Roman" w:eastAsia="方正仿宋_GBK"/>
          <w:sz w:val="32"/>
          <w:szCs w:val="32"/>
        </w:rPr>
        <w:t>全面落实种粮大户补贴、稻谷种植补贴等惠农补贴政策，稳定规模种粮主体收益预期。每个粮油千亩高产片和百亩超高产攻关片至少扶持培育1个粮油适度规模经营主体，在土地流转、农资保供、农机购置等方面给予政策优惠，提高规模主体种粮积极性。</w:t>
      </w:r>
      <w:r>
        <w:rPr>
          <w:rFonts w:ascii="Times New Roman" w:hAnsi="Times New Roman" w:eastAsia="方正仿宋_GBK"/>
          <w:b/>
          <w:bCs/>
          <w:sz w:val="32"/>
          <w:szCs w:val="32"/>
        </w:rPr>
        <w:t>二是全程跟踪指导。</w:t>
      </w:r>
      <w:r>
        <w:rPr>
          <w:rFonts w:ascii="Times New Roman" w:hAnsi="Times New Roman" w:eastAsia="方正仿宋_GBK"/>
          <w:sz w:val="32"/>
          <w:szCs w:val="32"/>
        </w:rPr>
        <w:t>每个粮油适度规模经营主体至少落实1名县级专家联系指导、1名乡镇农技员蹲点服务，规范建立粮油作物田间档案，强化产前、产中、产后支持，帮助粮油适度规模经营主体提高生产管理水平，增强适度扩大生产经营规模、延长产业链条的动力。</w:t>
      </w:r>
      <w:r>
        <w:rPr>
          <w:rFonts w:ascii="Times New Roman" w:hAnsi="Times New Roman" w:eastAsia="方正仿宋_GBK"/>
          <w:b/>
          <w:bCs/>
          <w:sz w:val="32"/>
          <w:szCs w:val="32"/>
        </w:rPr>
        <w:t>三是强化社会服务。</w:t>
      </w:r>
      <w:r>
        <w:rPr>
          <w:rFonts w:ascii="Times New Roman" w:hAnsi="Times New Roman" w:eastAsia="方正仿宋_GBK"/>
          <w:sz w:val="32"/>
          <w:szCs w:val="32"/>
        </w:rPr>
        <w:t>构建“县为中心覆盖乡村”的三级服务体系，完善农业社会化服务体系运行机制，</w:t>
      </w:r>
      <w:r>
        <w:rPr>
          <w:rFonts w:ascii="Times New Roman" w:hAnsi="Times New Roman" w:eastAsia="方正仿宋_GBK"/>
          <w:bCs/>
          <w:sz w:val="32"/>
          <w:szCs w:val="32"/>
        </w:rPr>
        <w:t>培育一批有机具、有人员、有技术的县域专业服务主体，每个县（区）每年新培育社会化服务组织20个以上。</w:t>
      </w:r>
      <w:r>
        <w:rPr>
          <w:rFonts w:ascii="Times New Roman" w:hAnsi="Times New Roman" w:eastAsia="方正仿宋_GBK"/>
          <w:sz w:val="32"/>
          <w:szCs w:val="32"/>
        </w:rPr>
        <w:t>支持适度规模经营主体拓宽经营范围，鼓励开展代耕代种、代管代收、全程托管等农业生产社会化服务，逐步提高大面积粮油生产轻简化、标准化、集约化、产业化水平，示范带动小农户由“一家一户”向“适度规模”转变。</w:t>
      </w:r>
    </w:p>
    <w:p>
      <w:pPr>
        <w:spacing w:line="576" w:lineRule="exact"/>
        <w:ind w:firstLine="644"/>
        <w:rPr>
          <w:rFonts w:ascii="Times New Roman" w:hAnsi="Times New Roman" w:eastAsia="方正仿宋_GBK"/>
          <w:sz w:val="32"/>
          <w:szCs w:val="32"/>
        </w:rPr>
      </w:pPr>
      <w:r>
        <w:rPr>
          <w:rFonts w:ascii="Times New Roman" w:hAnsi="Times New Roman" w:eastAsia="方正楷体_GBK"/>
          <w:b/>
          <w:bCs/>
          <w:sz w:val="32"/>
          <w:szCs w:val="32"/>
        </w:rPr>
        <w:t>（三）聚焦防灾减损，筑牢丰收防线。</w:t>
      </w:r>
      <w:r>
        <w:rPr>
          <w:rFonts w:ascii="Times New Roman" w:hAnsi="Times New Roman" w:eastAsia="方正仿宋_GBK"/>
          <w:b/>
          <w:bCs/>
          <w:sz w:val="32"/>
          <w:szCs w:val="32"/>
        </w:rPr>
        <w:t>一是补齐短板弱项。</w:t>
      </w:r>
      <w:r>
        <w:rPr>
          <w:rFonts w:ascii="Times New Roman" w:hAnsi="Times New Roman" w:eastAsia="方正仿宋_GBK"/>
          <w:sz w:val="32"/>
          <w:szCs w:val="32"/>
        </w:rPr>
        <w:t>坚持高标准农田建设与耕地地力提升相结合，加快实施高标准农田新建和改造提升项目。加快大型灌区干支渠、两个中型灌区续建配套和节水改造，统筹推进“五小水利工程”和机电提灌站建设，注重坡耕地“水、渠”配套，做好田间渠道与“干支”渠衔接，持续改善农田灌溉条件。加快机耕道建设、田型整治等宜机化作业改造，着力提高主要农作物综合机械化水平。</w:t>
      </w:r>
      <w:r>
        <w:rPr>
          <w:rFonts w:ascii="Times New Roman" w:hAnsi="Times New Roman" w:eastAsia="方正仿宋_GBK"/>
          <w:b/>
          <w:bCs/>
          <w:sz w:val="32"/>
          <w:szCs w:val="32"/>
        </w:rPr>
        <w:t>二是抓好防灾减灾。</w:t>
      </w:r>
      <w:r>
        <w:rPr>
          <w:rFonts w:ascii="Times New Roman" w:hAnsi="Times New Roman" w:eastAsia="方正仿宋_GBK"/>
          <w:sz w:val="32"/>
          <w:szCs w:val="32"/>
        </w:rPr>
        <w:t>立足本地气象灾害类型和发生特点，加强农业农村、水利、气象灾害监测预警体系建设，科学应对干旱、低温冷害、洪涝等气象灾害，全力减轻灾害损失。强化农情监测调度和病虫灾害监测预警，扎实做好主要农作物重大病虫害监测防控，全面推行统防统治和群防群治，努力实现“虫口夺粮”保丰收。</w:t>
      </w:r>
      <w:r>
        <w:rPr>
          <w:rFonts w:ascii="Times New Roman" w:hAnsi="Times New Roman" w:eastAsia="方正仿宋_GBK"/>
          <w:b/>
          <w:bCs/>
          <w:sz w:val="32"/>
          <w:szCs w:val="32"/>
        </w:rPr>
        <w:t>三是突出节粮减损。</w:t>
      </w:r>
      <w:r>
        <w:rPr>
          <w:rFonts w:ascii="Times New Roman" w:hAnsi="Times New Roman" w:eastAsia="方正仿宋_GBK"/>
          <w:sz w:val="32"/>
          <w:szCs w:val="32"/>
        </w:rPr>
        <w:t>大力培育农机人才，每个粮油千亩高产片和百亩超高产攻关片至少培育1名高素质农机手。积极推进机收提质减损，因地制宜推广分品种专用高效低损联合收获机械、丘陵山区轻简型收获机械和粮油机收减损技术，加强粮油主产区、粮油园区烘干能力建设，降低各环节粮食损耗。</w:t>
      </w:r>
    </w:p>
    <w:p>
      <w:pPr>
        <w:spacing w:line="576" w:lineRule="exact"/>
        <w:ind w:firstLine="644"/>
        <w:rPr>
          <w:rFonts w:ascii="Times New Roman" w:hAnsi="Times New Roman" w:eastAsia="方正黑体_GBK"/>
          <w:sz w:val="32"/>
          <w:szCs w:val="32"/>
        </w:rPr>
      </w:pPr>
      <w:r>
        <w:rPr>
          <w:rFonts w:ascii="Times New Roman" w:hAnsi="Times New Roman" w:eastAsia="方正黑体_GBK"/>
          <w:sz w:val="32"/>
          <w:szCs w:val="32"/>
        </w:rPr>
        <w:t>四、工作程序</w:t>
      </w:r>
    </w:p>
    <w:p>
      <w:pPr>
        <w:spacing w:line="576" w:lineRule="exact"/>
        <w:ind w:firstLine="594" w:firstLineChars="200"/>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（一）县级推荐。</w:t>
      </w:r>
      <w:r>
        <w:rPr>
          <w:rFonts w:ascii="Times New Roman" w:hAnsi="Times New Roman" w:eastAsia="方正仿宋_GBK"/>
          <w:spacing w:val="-4"/>
          <w:sz w:val="32"/>
          <w:szCs w:val="32"/>
        </w:rPr>
        <w:t>各县（区）每年小春季和大春季各推荐1个粮油千亩高产片、1个百亩超高产攻关片作为全省粮油千亩高产竞赛片、百亩超高产竞赛片，</w:t>
      </w:r>
      <w:r>
        <w:rPr>
          <w:rFonts w:ascii="Times New Roman" w:hAnsi="Times New Roman" w:eastAsia="方正仿宋_GBK"/>
          <w:color w:val="000000"/>
          <w:spacing w:val="-4"/>
          <w:sz w:val="32"/>
          <w:szCs w:val="32"/>
        </w:rPr>
        <w:t>小春季在上年8月底前、大春季在当年2月底</w:t>
      </w:r>
      <w:r>
        <w:rPr>
          <w:rFonts w:ascii="Times New Roman" w:hAnsi="Times New Roman" w:eastAsia="方正仿宋_GBK"/>
          <w:spacing w:val="-4"/>
          <w:sz w:val="32"/>
          <w:szCs w:val="32"/>
        </w:rPr>
        <w:t>前完成千亩高产片建设方案编制并报市农业农村局审核备案，同时完成百亩超高产攻关片规划并向市农业农村局提交竞赛申报。每年推荐2个规模经营主体参加全省粮油规模经营主体高产竞赛（每个主体限报1个作物参赛），</w:t>
      </w:r>
      <w:r>
        <w:rPr>
          <w:rFonts w:ascii="Times New Roman" w:hAnsi="Times New Roman" w:eastAsia="方正仿宋_GBK"/>
          <w:color w:val="000000"/>
          <w:spacing w:val="-4"/>
          <w:sz w:val="32"/>
          <w:szCs w:val="32"/>
        </w:rPr>
        <w:t>小春季在上年12月10日前、大春季在当年6月10日前完成规模经营主体高产竞赛申报材料审核，并报市农业农村局备案。逾期不报视为放弃。</w:t>
      </w:r>
    </w:p>
    <w:p>
      <w:pPr>
        <w:spacing w:line="576" w:lineRule="exact"/>
        <w:ind w:firstLine="594" w:firstLineChars="200"/>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（二）市级筛选。</w:t>
      </w:r>
      <w:r>
        <w:rPr>
          <w:rFonts w:ascii="Times New Roman" w:hAnsi="Times New Roman" w:eastAsia="方正仿宋_GBK"/>
          <w:color w:val="000000"/>
          <w:sz w:val="32"/>
          <w:szCs w:val="32"/>
        </w:rPr>
        <w:t>市级每年从县级推荐的竞赛名单中，筛选3个粮油高产竞赛县、3个百亩超高产竞赛单位、8个规模经营高产竞赛主体。各县（区）应在作物成熟前30天开展理论测产并将测产结果及田间档案上报市农业农村局，由省、市适时组织实收测产，其中千亩高产竞赛和规模经营主体高产竞赛由市农业农村局组织实收测产，百亩超高产竞赛由农业农村厅组织专家组进行片区内交叉实收测产。</w:t>
      </w:r>
    </w:p>
    <w:p>
      <w:pPr>
        <w:spacing w:line="576" w:lineRule="exact"/>
        <w:ind w:firstLine="644"/>
        <w:rPr>
          <w:rFonts w:ascii="Times New Roman" w:hAnsi="Times New Roman" w:eastAsia="方正黑体_GBK"/>
          <w:sz w:val="32"/>
          <w:szCs w:val="32"/>
        </w:rPr>
      </w:pPr>
      <w:r>
        <w:rPr>
          <w:rFonts w:ascii="Times New Roman" w:hAnsi="Times New Roman" w:eastAsia="方正楷体_GBK"/>
          <w:b/>
          <w:bCs/>
          <w:color w:val="000000"/>
          <w:sz w:val="32"/>
          <w:szCs w:val="32"/>
        </w:rPr>
        <w:t>（三）市级推荐。</w:t>
      </w:r>
      <w:r>
        <w:rPr>
          <w:rFonts w:ascii="Times New Roman" w:hAnsi="Times New Roman" w:eastAsia="方正仿宋_GBK"/>
          <w:color w:val="000000"/>
          <w:sz w:val="32"/>
          <w:szCs w:val="32"/>
        </w:rPr>
        <w:t>每年从市级筛选的名单中，向农业农村厅推荐2个千亩高产片作为省级拉练现场（小春和大春季各推荐1个），推荐2个县（区）作为全省粮油高产竞赛县，推荐2个百亩超高产攻关片作为省级交叉实收测产片（小春和大春季各推荐1个），推荐6个规模经营主体参加全省规模经营主体高产竞赛（小春季2个、大春季4个）。</w:t>
      </w:r>
    </w:p>
    <w:p>
      <w:pPr>
        <w:spacing w:line="576" w:lineRule="exact"/>
        <w:ind w:firstLine="644"/>
        <w:rPr>
          <w:rFonts w:ascii="Times New Roman" w:hAnsi="Times New Roman" w:eastAsia="方正黑体_GBK"/>
          <w:sz w:val="32"/>
          <w:szCs w:val="32"/>
        </w:rPr>
      </w:pPr>
      <w:r>
        <w:rPr>
          <w:rFonts w:ascii="Times New Roman" w:hAnsi="Times New Roman" w:eastAsia="方正黑体_GBK"/>
          <w:sz w:val="32"/>
          <w:szCs w:val="32"/>
        </w:rPr>
        <w:t>五、保障措施</w:t>
      </w:r>
    </w:p>
    <w:p>
      <w:pPr>
        <w:spacing w:line="576" w:lineRule="exact"/>
        <w:ind w:firstLine="644"/>
        <w:rPr>
          <w:rFonts w:ascii="Times New Roman" w:hAnsi="Times New Roman" w:eastAsia="方正仿宋_GBK"/>
          <w:sz w:val="32"/>
          <w:szCs w:val="32"/>
        </w:rPr>
      </w:pPr>
      <w:r>
        <w:rPr>
          <w:rFonts w:ascii="Times New Roman" w:hAnsi="Times New Roman" w:eastAsia="方正楷体_GBK"/>
          <w:b/>
          <w:bCs/>
          <w:spacing w:val="-6"/>
          <w:sz w:val="32"/>
          <w:szCs w:val="32"/>
        </w:rPr>
        <w:t>（一）强化组织领导。</w:t>
      </w:r>
      <w:r>
        <w:rPr>
          <w:rFonts w:ascii="Times New Roman" w:hAnsi="Times New Roman" w:eastAsia="方正仿宋_GBK"/>
          <w:sz w:val="32"/>
          <w:szCs w:val="32"/>
        </w:rPr>
        <w:t>为加强“天府粮仓·百县千片”建设组织领导，市级建立了贯彻落实“天府粮仓·百县千片”建设行动推进联席会议，各县（区）要完善工作机制、落实责任分工，切实形成齐抓共管、协同推进的工作格局。市级将根据粮油作物生产季节组织县（区）开展现场观摩和拉练比拼，作为市级日常抽查、综合评分、粮食安全党政同责考核评分依据。</w:t>
      </w:r>
    </w:p>
    <w:p>
      <w:pPr>
        <w:spacing w:line="576" w:lineRule="exact"/>
        <w:ind w:firstLine="644"/>
        <w:rPr>
          <w:rFonts w:ascii="Times New Roman" w:hAnsi="Times New Roman" w:eastAsia="方正仿宋_GBK"/>
          <w:sz w:val="32"/>
          <w:szCs w:val="32"/>
        </w:rPr>
      </w:pPr>
      <w:r>
        <w:rPr>
          <w:rFonts w:ascii="Times New Roman" w:hAnsi="Times New Roman" w:eastAsia="方正楷体_GBK"/>
          <w:b/>
          <w:bCs/>
          <w:sz w:val="32"/>
          <w:szCs w:val="32"/>
        </w:rPr>
        <w:t>（二）强化资金保障。</w:t>
      </w:r>
      <w:r>
        <w:rPr>
          <w:rFonts w:ascii="Times New Roman" w:hAnsi="Times New Roman" w:eastAsia="方正仿宋_GBK"/>
          <w:sz w:val="32"/>
          <w:szCs w:val="32"/>
        </w:rPr>
        <w:t>各县（区）要</w:t>
      </w:r>
      <w:r>
        <w:rPr>
          <w:rFonts w:ascii="Times New Roman" w:hAnsi="Times New Roman" w:eastAsia="方正仿宋_GBK"/>
          <w:bCs/>
          <w:sz w:val="32"/>
          <w:szCs w:val="32"/>
        </w:rPr>
        <w:t>根据现有项目及资金规模，</w:t>
      </w:r>
      <w:r>
        <w:rPr>
          <w:rFonts w:ascii="Times New Roman" w:hAnsi="Times New Roman" w:eastAsia="方正仿宋_GBK"/>
          <w:sz w:val="32"/>
          <w:szCs w:val="32"/>
        </w:rPr>
        <w:t>按规定统筹安排农业农村、发改、科技、财政、水利等部门项目资金，落实县级财政配套资金，积极撬动社会资本投入，进一步加大对高产创建、单产提升的资金支持力度。</w:t>
      </w:r>
    </w:p>
    <w:p>
      <w:pPr>
        <w:spacing w:line="576" w:lineRule="exact"/>
        <w:ind w:firstLine="644"/>
        <w:rPr>
          <w:rFonts w:ascii="Times New Roman" w:hAnsi="Times New Roman" w:eastAsia="方正仿宋_GBK"/>
          <w:sz w:val="32"/>
          <w:szCs w:val="32"/>
        </w:rPr>
      </w:pPr>
      <w:r>
        <w:rPr>
          <w:rFonts w:ascii="Times New Roman" w:hAnsi="Times New Roman" w:eastAsia="方正楷体_GBK"/>
          <w:b/>
          <w:bCs/>
          <w:sz w:val="32"/>
          <w:szCs w:val="32"/>
        </w:rPr>
        <w:t>（三）强化表扬激励。</w:t>
      </w:r>
      <w:r>
        <w:rPr>
          <w:rFonts w:ascii="Times New Roman" w:hAnsi="Times New Roman" w:eastAsia="方正仿宋_GBK"/>
          <w:color w:val="000000"/>
          <w:sz w:val="32"/>
          <w:szCs w:val="32"/>
        </w:rPr>
        <w:t>市级财政从各类涉农资金中统筹安排290万元，对</w:t>
      </w:r>
      <w:r>
        <w:rPr>
          <w:rFonts w:ascii="Times New Roman" w:hAnsi="Times New Roman" w:eastAsia="方正仿宋_GBK"/>
          <w:sz w:val="32"/>
          <w:szCs w:val="32"/>
        </w:rPr>
        <w:t>市级筛选的</w:t>
      </w:r>
      <w:r>
        <w:rPr>
          <w:rFonts w:ascii="Times New Roman" w:hAnsi="Times New Roman" w:eastAsia="方正仿宋_GBK"/>
          <w:color w:val="000000"/>
          <w:sz w:val="32"/>
          <w:szCs w:val="32"/>
        </w:rPr>
        <w:t>粮油高产竞赛县、百亩超高产竞赛单位、规模经营竞赛主体，分别给予50万元、20万元、10万元资金奖励，并以市委农村工作领导小组名义予以通报表扬。</w:t>
      </w:r>
    </w:p>
    <w:p>
      <w:pPr>
        <w:spacing w:line="576" w:lineRule="exact"/>
        <w:ind w:firstLine="644"/>
        <w:rPr>
          <w:rFonts w:ascii="Times New Roman" w:hAnsi="Times New Roman" w:eastAsia="方正仿宋_GBK"/>
          <w:sz w:val="32"/>
          <w:szCs w:val="32"/>
        </w:rPr>
      </w:pPr>
      <w:r>
        <w:rPr>
          <w:rFonts w:ascii="Times New Roman" w:hAnsi="Times New Roman" w:eastAsia="方正楷体_GBK"/>
          <w:b/>
          <w:bCs/>
          <w:sz w:val="32"/>
          <w:szCs w:val="32"/>
        </w:rPr>
        <w:t>（四）强化氛围营造。</w:t>
      </w:r>
      <w:r>
        <w:rPr>
          <w:rFonts w:ascii="Times New Roman" w:hAnsi="Times New Roman" w:eastAsia="方正仿宋_GBK"/>
          <w:sz w:val="32"/>
          <w:szCs w:val="32"/>
        </w:rPr>
        <w:t>各地要在粮油千亩高产片、百亩超高产攻关片等核心区域，适当设立标识标牌、悬挂宣传标语，通过新闻和宣传媒体等多种形式和渠道，大力宣传报道粮油“三大竞赛”、单产提升涌现出来的先进个体、先进经验、做法和成效，有序引入各类社会力量和资源，努力营造粮油单产提升浓厚氛围。</w:t>
      </w:r>
    </w:p>
    <w:p>
      <w:pPr>
        <w:spacing w:line="576" w:lineRule="exact"/>
        <w:ind w:firstLine="644"/>
        <w:rPr>
          <w:rFonts w:ascii="Times New Roman" w:hAnsi="Times New Roman" w:eastAsia="方正仿宋_GBK"/>
          <w:sz w:val="32"/>
          <w:szCs w:val="32"/>
        </w:rPr>
      </w:pPr>
    </w:p>
    <w:p>
      <w:pPr>
        <w:spacing w:line="576" w:lineRule="exact"/>
        <w:ind w:firstLine="644"/>
        <w:rPr>
          <w:rFonts w:ascii="Times New Roman" w:hAnsi="Times New Roman" w:eastAsia="方正仿宋_GBK"/>
          <w:sz w:val="32"/>
          <w:szCs w:val="32"/>
        </w:rPr>
      </w:pPr>
      <w:r>
        <w:rPr>
          <w:rFonts w:ascii="Times New Roman" w:hAnsi="Times New Roman" w:eastAsia="方正仿宋_GBK"/>
          <w:sz w:val="32"/>
          <w:szCs w:val="32"/>
        </w:rPr>
        <w:t>附件：1-1.巴中市2024年粮油高产片布局安排</w:t>
      </w:r>
    </w:p>
    <w:p>
      <w:pPr>
        <w:spacing w:line="576" w:lineRule="exact"/>
        <w:ind w:left="1847" w:leftChars="304" w:hanging="1188" w:hangingChars="400"/>
        <w:rPr>
          <w:rFonts w:ascii="Times New Roman" w:hAnsi="Times New Roman" w:eastAsia="方正仿宋_GBK"/>
          <w:sz w:val="32"/>
          <w:szCs w:val="32"/>
        </w:rPr>
      </w:pPr>
      <w:r>
        <w:rPr>
          <w:rFonts w:ascii="Times New Roman" w:hAnsi="Times New Roman" w:eastAsia="方正仿宋_GBK"/>
          <w:sz w:val="32"/>
          <w:szCs w:val="32"/>
        </w:rPr>
        <w:t xml:space="preserve">      1-2.巴中市贯彻落实“天府粮仓·百县千片”建设行动推进联席会议</w:t>
      </w:r>
    </w:p>
    <w:p>
      <w:pPr>
        <w:spacing w:line="576" w:lineRule="exact"/>
        <w:ind w:left="1946" w:leftChars="760" w:hanging="297" w:hangingChars="100"/>
        <w:rPr>
          <w:rFonts w:ascii="Times New Roman" w:hAnsi="Times New Roman" w:eastAsia="方正仿宋_GBK"/>
          <w:sz w:val="32"/>
          <w:szCs w:val="32"/>
        </w:rPr>
        <w:sectPr>
          <w:footerReference r:id="rId7" w:type="first"/>
          <w:footerReference r:id="rId5" w:type="default"/>
          <w:footerReference r:id="rId6" w:type="even"/>
          <w:pgSz w:w="11907" w:h="16840"/>
          <w:pgMar w:top="2098" w:right="1474" w:bottom="1985" w:left="1588" w:header="720" w:footer="1418" w:gutter="0"/>
          <w:cols w:space="720" w:num="1"/>
          <w:docGrid w:type="linesAndChars" w:linePitch="579" w:charSpace="-4914"/>
        </w:sectPr>
      </w:pPr>
      <w:r>
        <w:rPr>
          <w:rFonts w:ascii="Times New Roman" w:hAnsi="Times New Roman" w:eastAsia="方正仿宋_GBK"/>
          <w:sz w:val="32"/>
          <w:szCs w:val="32"/>
        </w:rPr>
        <w:t>1-3.巴中市贯彻落实“天府粮仓·百县千片”建设行动粮油高产攻关小组</w:t>
      </w:r>
    </w:p>
    <w:p>
      <w:pPr>
        <w:spacing w:line="560" w:lineRule="exact"/>
        <w:rPr>
          <w:rFonts w:ascii="Times New Roman" w:hAnsi="Times New Roman" w:eastAsia="方正仿宋_GBK"/>
          <w:sz w:val="32"/>
          <w:szCs w:val="32"/>
        </w:rPr>
      </w:pPr>
      <w:r>
        <w:rPr>
          <w:rFonts w:ascii="Times New Roman" w:hAnsi="Times New Roman" w:eastAsia="方正黑体_GBK"/>
          <w:sz w:val="32"/>
          <w:szCs w:val="32"/>
        </w:rPr>
        <w:t>附件1-1</w:t>
      </w:r>
    </w:p>
    <w:p>
      <w:pPr>
        <w:spacing w:line="560" w:lineRule="exact"/>
        <w:jc w:val="center"/>
        <w:rPr>
          <w:rFonts w:ascii="Times New Roman" w:hAnsi="Times New Roman" w:eastAsia="方正仿宋_GBK"/>
          <w:sz w:val="32"/>
          <w:szCs w:val="32"/>
        </w:rPr>
      </w:pPr>
      <w:r>
        <w:rPr>
          <w:rFonts w:ascii="Times New Roman" w:hAnsi="Times New Roman" w:eastAsia="方正小标宋_GBK"/>
          <w:sz w:val="44"/>
          <w:szCs w:val="44"/>
        </w:rPr>
        <w:t>巴中市</w:t>
      </w:r>
      <w:r>
        <w:rPr>
          <w:rFonts w:ascii="Times New Roman" w:hAnsi="Times New Roman" w:eastAsia="方正小标宋_GBK"/>
          <w:b/>
          <w:bCs/>
          <w:sz w:val="44"/>
          <w:szCs w:val="44"/>
        </w:rPr>
        <w:t>2024</w:t>
      </w:r>
      <w:r>
        <w:rPr>
          <w:rFonts w:ascii="Times New Roman" w:hAnsi="Times New Roman" w:eastAsia="方正小标宋_GBK"/>
          <w:sz w:val="44"/>
          <w:szCs w:val="44"/>
        </w:rPr>
        <w:t>年粮油高产片布局安排</w:t>
      </w:r>
    </w:p>
    <w:tbl>
      <w:tblPr>
        <w:tblStyle w:val="3"/>
        <w:tblW w:w="14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916"/>
        <w:gridCol w:w="916"/>
        <w:gridCol w:w="916"/>
        <w:gridCol w:w="916"/>
        <w:gridCol w:w="916"/>
        <w:gridCol w:w="916"/>
        <w:gridCol w:w="916"/>
        <w:gridCol w:w="916"/>
        <w:gridCol w:w="916"/>
        <w:gridCol w:w="916"/>
        <w:gridCol w:w="916"/>
        <w:gridCol w:w="916"/>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vMerge w:val="restart"/>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县（区）</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总数</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其中：水稻</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玉米</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小麦</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大豆</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马铃薯</w:t>
            </w:r>
          </w:p>
        </w:tc>
        <w:tc>
          <w:tcPr>
            <w:tcW w:w="1832" w:type="dxa"/>
            <w:gridSpan w:val="2"/>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vMerge w:val="continue"/>
            <w:noWrap w:val="0"/>
            <w:vAlign w:val="top"/>
          </w:tcP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千亩</w:t>
            </w:r>
          </w:p>
        </w:tc>
        <w:tc>
          <w:tcPr>
            <w:tcW w:w="916"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百亩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全  市</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61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26</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14</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巴州区</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恩阳区</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南江县</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通江县</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0"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平昌县</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16" w:type="dxa"/>
            <w:noWrap w:val="0"/>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r>
    </w:tbl>
    <w:p>
      <w:pPr>
        <w:spacing w:line="560" w:lineRule="exact"/>
        <w:rPr>
          <w:rFonts w:ascii="Times New Roman" w:hAnsi="Times New Roman" w:eastAsia="方正仿宋_GBK"/>
          <w:sz w:val="32"/>
          <w:szCs w:val="32"/>
        </w:rPr>
        <w:sectPr>
          <w:pgSz w:w="16840" w:h="11907" w:orient="landscape"/>
          <w:pgMar w:top="1588" w:right="2098" w:bottom="1418" w:left="1871" w:header="720" w:footer="1418" w:gutter="0"/>
          <w:cols w:space="720" w:num="1"/>
          <w:docGrid w:type="lines" w:linePitch="312" w:charSpace="-4914"/>
        </w:sectPr>
      </w:pPr>
    </w:p>
    <w:p>
      <w:pPr>
        <w:rPr>
          <w:rFonts w:ascii="Times New Roman" w:hAnsi="Times New Roman" w:eastAsia="方正仿宋_GBK"/>
          <w:sz w:val="32"/>
          <w:szCs w:val="32"/>
        </w:rPr>
      </w:pPr>
      <w:r>
        <w:rPr>
          <w:rFonts w:ascii="Times New Roman" w:hAnsi="Times New Roman" w:eastAsia="方正黑体_GBK"/>
          <w:sz w:val="32"/>
          <w:szCs w:val="32"/>
        </w:rPr>
        <w:t>附件1-2</w:t>
      </w:r>
    </w:p>
    <w:p>
      <w:pPr>
        <w:spacing w:line="540" w:lineRule="exact"/>
        <w:jc w:val="center"/>
        <w:rPr>
          <w:rFonts w:ascii="Times New Roman" w:hAnsi="Times New Roman" w:eastAsia="方正小标宋_GBK"/>
          <w:sz w:val="44"/>
          <w:szCs w:val="44"/>
        </w:rPr>
      </w:pP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巴中市贯彻落实“天府粮仓·百县千片”建设行动推进联席会议</w:t>
      </w:r>
    </w:p>
    <w:p>
      <w:pPr>
        <w:spacing w:line="540" w:lineRule="exact"/>
        <w:rPr>
          <w:rFonts w:ascii="Times New Roman" w:hAnsi="Times New Roman" w:eastAsia="方正仿宋_GBK"/>
          <w:sz w:val="32"/>
          <w:szCs w:val="32"/>
        </w:rPr>
      </w:pPr>
    </w:p>
    <w:p>
      <w:pPr>
        <w:spacing w:line="54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召集人：</w:t>
      </w:r>
      <w:r>
        <w:rPr>
          <w:rFonts w:ascii="Times New Roman" w:hAnsi="Times New Roman" w:eastAsia="方正仿宋_GBK"/>
          <w:sz w:val="32"/>
          <w:szCs w:val="32"/>
        </w:rPr>
        <w:t>罗中荣  市农业农村局局长、市乡村振兴局局长</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成  员：</w:t>
      </w:r>
      <w:r>
        <w:rPr>
          <w:rFonts w:ascii="Times New Roman" w:hAnsi="Times New Roman" w:eastAsia="方正仿宋_GBK"/>
          <w:sz w:val="32"/>
          <w:szCs w:val="32"/>
        </w:rPr>
        <w:t>吴晓春  市发展改革委副主任</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胡天寿  市科技局副局长</w:t>
      </w:r>
    </w:p>
    <w:p>
      <w:pPr>
        <w:spacing w:line="54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邓文明  市财政局副局长</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李  俊  市自然资源和规划局副局长</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刘仲贤  市水利局总工程师</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包晓鹰  市农业农村局副局长</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孙正泽  市统计局总统计师</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吴德斌  市供销社理事会副主任</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刘  畅  市气象局副局长</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金焕敏  国家统计局巴中调查队副队长</w:t>
      </w: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 xml:space="preserve">            李  强  市农林科学研究院副院长</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联席会议下设办公室，由包晓鹰同志兼任办公室主任，具体负责巴中市“天府粮仓·百县千片”建设行动统筹协调、调度检查、测产验收等日常工作。</w:t>
      </w:r>
    </w:p>
    <w:p>
      <w:pPr>
        <w:rPr>
          <w:rFonts w:ascii="Times New Roman" w:hAnsi="Times New Roman" w:eastAsia="方正黑体_GBK"/>
          <w:sz w:val="32"/>
          <w:szCs w:val="32"/>
        </w:rPr>
      </w:pPr>
      <w:r>
        <w:rPr>
          <w:rFonts w:ascii="Times New Roman" w:hAnsi="Times New Roman" w:eastAsia="方正黑体_GBK"/>
          <w:sz w:val="32"/>
          <w:szCs w:val="32"/>
        </w:rPr>
        <w:br w:type="page"/>
      </w: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附件1-3</w:t>
      </w:r>
    </w:p>
    <w:p>
      <w:pPr>
        <w:spacing w:line="560" w:lineRule="exact"/>
        <w:rPr>
          <w:rFonts w:ascii="Times New Roman" w:hAnsi="Times New Roman" w:eastAsia="方正仿宋_GBK"/>
          <w:sz w:val="32"/>
          <w:szCs w:val="32"/>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巴中市贯彻落实“天府粮仓·百县千片”建设行动</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粮油高产攻关小组</w:t>
      </w:r>
    </w:p>
    <w:p>
      <w:pPr>
        <w:spacing w:line="560" w:lineRule="exact"/>
        <w:jc w:val="left"/>
        <w:rPr>
          <w:rFonts w:ascii="Times New Roman" w:hAnsi="Times New Roman" w:eastAsia="方正黑体_GBK"/>
          <w:sz w:val="32"/>
          <w:szCs w:val="32"/>
        </w:rPr>
      </w:pPr>
    </w:p>
    <w:p>
      <w:pPr>
        <w:spacing w:line="560" w:lineRule="exact"/>
        <w:jc w:val="left"/>
        <w:rPr>
          <w:rFonts w:ascii="Times New Roman" w:hAnsi="Times New Roman" w:eastAsia="方正黑体_GBK"/>
          <w:sz w:val="32"/>
          <w:szCs w:val="32"/>
        </w:rPr>
      </w:pPr>
    </w:p>
    <w:p>
      <w:pPr>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 xml:space="preserve">    一、组成人员和单位</w:t>
      </w:r>
    </w:p>
    <w:p>
      <w:pPr>
        <w:spacing w:line="560" w:lineRule="exact"/>
        <w:ind w:firstLine="633"/>
        <w:jc w:val="left"/>
        <w:rPr>
          <w:rFonts w:ascii="Times New Roman" w:hAnsi="Times New Roman" w:eastAsia="方正仿宋_GBK"/>
          <w:sz w:val="32"/>
          <w:szCs w:val="32"/>
        </w:rPr>
      </w:pPr>
      <w:r>
        <w:rPr>
          <w:rFonts w:ascii="Times New Roman" w:hAnsi="Times New Roman" w:eastAsia="方正仿宋_GBK"/>
          <w:sz w:val="32"/>
          <w:szCs w:val="32"/>
        </w:rPr>
        <w:t>组  长：包晓鹰  市农业农村局副局长</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成  员：吴秀琼  </w:t>
      </w:r>
      <w:r>
        <w:rPr>
          <w:rFonts w:ascii="Times New Roman" w:hAnsi="Times New Roman" w:eastAsia="方正仿宋_GBK"/>
          <w:spacing w:val="-30"/>
          <w:sz w:val="32"/>
          <w:szCs w:val="32"/>
        </w:rPr>
        <w:t>市</w:t>
      </w:r>
      <w:r>
        <w:rPr>
          <w:rFonts w:ascii="Times New Roman" w:hAnsi="Times New Roman" w:eastAsia="方正仿宋_GBK"/>
          <w:spacing w:val="-36"/>
          <w:sz w:val="32"/>
          <w:szCs w:val="32"/>
        </w:rPr>
        <w:t>农业农村局四级调研员、市农村经营管理站站长</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蒋  亚  市农业农村局计划投资财务科科长</w:t>
      </w:r>
    </w:p>
    <w:p>
      <w:pPr>
        <w:spacing w:line="560" w:lineRule="exact"/>
        <w:ind w:firstLine="1920" w:firstLineChars="600"/>
        <w:jc w:val="left"/>
        <w:rPr>
          <w:rFonts w:ascii="Times New Roman" w:hAnsi="Times New Roman" w:eastAsia="方正仿宋_GBK"/>
          <w:spacing w:val="-30"/>
          <w:sz w:val="32"/>
          <w:szCs w:val="32"/>
        </w:rPr>
      </w:pPr>
      <w:r>
        <w:rPr>
          <w:rFonts w:ascii="Times New Roman" w:hAnsi="Times New Roman" w:eastAsia="方正仿宋_GBK"/>
          <w:sz w:val="32"/>
          <w:szCs w:val="32"/>
        </w:rPr>
        <w:t>王柄乔  市农业农村局农田建设管理科负责人</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李  磊  市农业农村局农业机械化科负责人</w:t>
      </w:r>
    </w:p>
    <w:p>
      <w:pPr>
        <w:spacing w:line="560" w:lineRule="exact"/>
        <w:ind w:left="1920" w:hanging="1920" w:hangingChars="600"/>
        <w:jc w:val="left"/>
        <w:rPr>
          <w:rFonts w:ascii="Times New Roman" w:hAnsi="Times New Roman" w:eastAsia="方正仿宋_GBK"/>
          <w:sz w:val="32"/>
          <w:szCs w:val="32"/>
        </w:rPr>
      </w:pPr>
      <w:r>
        <w:rPr>
          <w:rFonts w:ascii="Times New Roman" w:hAnsi="Times New Roman" w:eastAsia="方正仿宋_GBK"/>
          <w:sz w:val="32"/>
          <w:szCs w:val="32"/>
        </w:rPr>
        <w:t xml:space="preserve">            庞昇泽  </w:t>
      </w:r>
      <w:r>
        <w:rPr>
          <w:rFonts w:ascii="Times New Roman" w:hAnsi="Times New Roman" w:eastAsia="方正仿宋_GBK"/>
          <w:spacing w:val="-10"/>
          <w:sz w:val="32"/>
          <w:szCs w:val="32"/>
        </w:rPr>
        <w:t>市农业农村局种植业与农药肥料科负责人</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向丽君  市农业农村局科技教育科负责人</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杜晓芹  市统计局农业科负责人</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贾桂兰  市气象局气象信息中心副主任</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杜芙蓉  国家统计局巴中调查队农业农村科科长</w:t>
      </w:r>
    </w:p>
    <w:p>
      <w:pPr>
        <w:spacing w:line="560" w:lineRule="exact"/>
        <w:ind w:firstLine="1920" w:firstLineChars="600"/>
        <w:jc w:val="left"/>
        <w:rPr>
          <w:rFonts w:ascii="Times New Roman" w:hAnsi="Times New Roman" w:eastAsia="方正仿宋_GBK"/>
          <w:spacing w:val="-20"/>
          <w:sz w:val="32"/>
          <w:szCs w:val="32"/>
        </w:rPr>
      </w:pPr>
      <w:r>
        <w:rPr>
          <w:rFonts w:ascii="Times New Roman" w:hAnsi="Times New Roman" w:eastAsia="方正仿宋_GBK"/>
          <w:sz w:val="32"/>
          <w:szCs w:val="32"/>
        </w:rPr>
        <w:t xml:space="preserve">谢  婉  </w:t>
      </w:r>
      <w:r>
        <w:rPr>
          <w:rFonts w:ascii="Times New Roman" w:hAnsi="Times New Roman" w:eastAsia="方正仿宋_GBK"/>
          <w:spacing w:val="-20"/>
          <w:sz w:val="32"/>
          <w:szCs w:val="32"/>
        </w:rPr>
        <w:t>市农林科学研究院农业生态与环境研究所所长</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陈昌华  市农业技术推广中心主任</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竺诗平  市土壤肥料与资源环境工作站站长</w:t>
      </w:r>
    </w:p>
    <w:p>
      <w:pPr>
        <w:spacing w:line="560" w:lineRule="exact"/>
        <w:ind w:firstLine="1920" w:firstLineChars="600"/>
        <w:jc w:val="left"/>
        <w:rPr>
          <w:rFonts w:ascii="Times New Roman" w:hAnsi="Times New Roman" w:eastAsia="方正仿宋_GBK"/>
          <w:sz w:val="32"/>
          <w:szCs w:val="32"/>
        </w:rPr>
      </w:pPr>
      <w:r>
        <w:rPr>
          <w:rFonts w:ascii="Times New Roman" w:hAnsi="Times New Roman" w:eastAsia="方正仿宋_GBK"/>
          <w:sz w:val="32"/>
          <w:szCs w:val="32"/>
        </w:rPr>
        <w:t>何  熊  市种子管理站站长</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黄利珠  市植保植检站站长</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粮油高产攻关小组下设办公室于市农业农村局种植业与农药肥料科，庞昇泽同志兼任办公室主任。</w:t>
      </w:r>
    </w:p>
    <w:p>
      <w:pPr>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二、职能职责</w:t>
      </w:r>
    </w:p>
    <w:p>
      <w:pPr>
        <w:spacing w:line="560" w:lineRule="exact"/>
        <w:ind w:firstLine="624" w:firstLineChars="200"/>
        <w:jc w:val="left"/>
        <w:rPr>
          <w:rFonts w:ascii="Times New Roman" w:hAnsi="Times New Roman" w:eastAsia="方正黑体_GBK"/>
          <w:sz w:val="32"/>
          <w:szCs w:val="32"/>
        </w:rPr>
      </w:pPr>
      <w:r>
        <w:rPr>
          <w:rFonts w:ascii="Times New Roman" w:hAnsi="Times New Roman" w:eastAsia="方正仿宋_GBK"/>
          <w:spacing w:val="-4"/>
          <w:sz w:val="32"/>
          <w:szCs w:val="32"/>
        </w:rPr>
        <w:t>市农业农村局种植业与农药肥料科（市农业技术推广中心）：</w:t>
      </w:r>
      <w:r>
        <w:rPr>
          <w:rFonts w:ascii="Times New Roman" w:hAnsi="Times New Roman" w:eastAsia="方正仿宋_GBK"/>
          <w:sz w:val="32"/>
          <w:szCs w:val="32"/>
        </w:rPr>
        <w:t>负责制定粮油单产提升工作方案，组织开展粮油千亩高产展示市级拉练，指导地方筛选集成高产创建模式、技术等，组织推荐“天府粮仓·百县千片”高产竞赛参赛对象，统筹协调各项工作有序推进。</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市农业农村局计划投资财务科：负责落实粮油生产类项目补贴资金，组织开展项目资金监管、资金使用进度监控，协调争取省级表扬激励资金等。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市农业农村局农田建设管理科：牵头农业农村部门耕地保护工作，负责制定高标准农田建设规划，指导地方开展高标准农田建设，组织开展新建高标准农田市级验收等。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市农业农村局农业机械化科：负责农机先进实用新技术、新机具的研发、引进、试验示范和宣传推广，指导地方做好粮油机收减损，农机购置补贴目录更新和补贴兑付等。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市农业农村局科技教育科：负责面向各类种植主体开展关键技术培训指导，落实相关配套政策，负责指导家庭农场培育与发展等。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市统计局农业科：监督指导油菜高产创建、理论和实收测产，指导发布油菜高产创建信息等。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市气象局气象信息中心：负责气象信息监测预警，发布气象灾害信息和气象产量预报，制定气象灾害防范预案等。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国家统计局巴中调查队农业农村科：监督指导粮食高产创建、理论和实收测产，指导发布粮食高产创建信息等。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市农林科学研究院农业生态与环境研究所：负责粮油生产新技术的研究、试验示范与集成推广等。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市农村经营管理站：负责指导农民合作社培育与发展，承担农业社会化服务体系建设，指导地方实施农业生产社会化服务项目等。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市种子管理站：负责组织开展种子科研、育种、引种、试验、展示示范，优良品种筛选和推广等。</w:t>
      </w:r>
    </w:p>
    <w:p>
      <w:pPr>
        <w:spacing w:line="560" w:lineRule="exact"/>
        <w:ind w:firstLine="633"/>
        <w:rPr>
          <w:rFonts w:ascii="Times New Roman" w:hAnsi="Times New Roman" w:eastAsia="方正仿宋_GBK"/>
          <w:sz w:val="32"/>
          <w:szCs w:val="32"/>
        </w:rPr>
      </w:pPr>
      <w:r>
        <w:rPr>
          <w:rFonts w:ascii="Times New Roman" w:hAnsi="Times New Roman" w:eastAsia="方正仿宋_GBK"/>
          <w:sz w:val="32"/>
          <w:szCs w:val="32"/>
        </w:rPr>
        <w:t>市土壤肥料与资源环境工作站：负责科学施肥技术指导、咨询、试验、示范与推广应用，肥料质量监督，指导地方提升耕地质量和耕地地力水平等。</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市植保植检站：负责指导农民和植保新型经营主体科学合理选用农药，指导地方开展作物病虫害绿色防控、统防统治，组织实施“虫口夺粮”行动，引导植保社会化服务组织参与植保项目建设等。</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rPr>
        <w:rFonts w:hint="default" w:ascii="Times New Roman" w:hAnsi="Times New Roman" w:cs="Times New Roman"/>
        <w:sz w:val="28"/>
        <w:szCs w:val="28"/>
        <w:lang w:bidi="ar-SA"/>
      </w:rPr>
    </w:pPr>
    <w:r>
      <w:rPr>
        <w:rStyle w:val="5"/>
        <w:rFonts w:hint="default" w:ascii="Times New Roman" w:hAnsi="Times New Roman" w:cs="Times New Roman"/>
        <w:sz w:val="28"/>
        <w:szCs w:val="28"/>
        <w:lang w:bidi="ar-SA"/>
      </w:rPr>
      <w:t xml:space="preserve">—  </w:t>
    </w:r>
    <w:r>
      <w:rPr>
        <w:rStyle w:val="5"/>
        <w:rFonts w:hint="default" w:ascii="Times New Roman" w:hAnsi="Times New Roman" w:cs="Times New Roman"/>
        <w:sz w:val="28"/>
        <w:szCs w:val="28"/>
        <w:lang w:bidi="ar-SA"/>
      </w:rPr>
      <w:fldChar w:fldCharType="begin"/>
    </w:r>
    <w:r>
      <w:rPr>
        <w:rStyle w:val="5"/>
        <w:rFonts w:hint="default" w:ascii="Times New Roman" w:hAnsi="Times New Roman" w:cs="Times New Roman"/>
        <w:sz w:val="28"/>
        <w:szCs w:val="28"/>
        <w:lang w:bidi="ar-SA"/>
      </w:rPr>
      <w:instrText xml:space="preserve">Page</w:instrText>
    </w:r>
    <w:r>
      <w:rPr>
        <w:rStyle w:val="5"/>
        <w:rFonts w:hint="default" w:ascii="Times New Roman" w:hAnsi="Times New Roman" w:cs="Times New Roman"/>
        <w:sz w:val="28"/>
        <w:szCs w:val="28"/>
        <w:lang w:bidi="ar-SA"/>
      </w:rPr>
      <w:fldChar w:fldCharType="separate"/>
    </w:r>
    <w:r>
      <w:rPr>
        <w:rStyle w:val="5"/>
        <w:rFonts w:hint="default" w:ascii="Times New Roman" w:hAnsi="Times New Roman" w:cs="Times New Roman"/>
        <w:sz w:val="28"/>
        <w:szCs w:val="28"/>
        <w:lang w:bidi="ar-SA"/>
      </w:rPr>
      <w:t>1</w:t>
    </w:r>
    <w:r>
      <w:rPr>
        <w:rStyle w:val="5"/>
        <w:rFonts w:hint="default" w:ascii="Times New Roman" w:hAnsi="Times New Roman" w:cs="Times New Roman"/>
        <w:sz w:val="28"/>
        <w:szCs w:val="28"/>
        <w:lang w:bidi="ar-SA"/>
      </w:rPr>
      <w:fldChar w:fldCharType="end"/>
    </w:r>
    <w:r>
      <w:rPr>
        <w:rStyle w:val="5"/>
        <w:rFonts w:hint="default" w:ascii="Times New Roman" w:hAnsi="Times New Roman" w:cs="Times New Roman"/>
        <w:sz w:val="28"/>
        <w:szCs w:val="28"/>
        <w:lang w:bidi="ar-SA"/>
      </w:rPr>
      <w:t xml:space="preserve">  —</w:t>
    </w:r>
  </w:p>
  <w:p>
    <w:pPr>
      <w:pStyle w:val="6"/>
      <w:ind w:right="360" w:firstLine="360"/>
      <w:rPr>
        <w:rFonts w:hint="default"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pPr>
      <w:pStyle w:val="6"/>
      <w:ind w:right="360" w:firstLine="36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eastAsia="zh-CN"/>
      </w:rPr>
      <w:t>56</w:t>
    </w:r>
    <w:r>
      <w:rPr>
        <w:rFonts w:ascii="Times New Roman" w:hAnsi="Times New Roman"/>
        <w:sz w:val="28"/>
        <w:szCs w:val="28"/>
      </w:rPr>
      <w:fldChar w:fldCharType="end"/>
    </w:r>
    <w:r>
      <w:rPr>
        <w:rFonts w:ascii="Times New Roman" w:hAnsi="Times New Roman"/>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7E193"/>
    <w:rsid w:val="68370FA5"/>
    <w:rsid w:val="7E77E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szCs w:val="18"/>
    </w:rPr>
  </w:style>
  <w:style w:type="character" w:styleId="5">
    <w:name w:val="page number"/>
    <w:basedOn w:val="4"/>
    <w:qFormat/>
    <w:uiPriority w:val="0"/>
  </w:style>
  <w:style w:type="paragraph" w:customStyle="1" w:styleId="6">
    <w:name w:val="页脚1"/>
    <w:basedOn w:val="1"/>
    <w:qFormat/>
    <w:uiPriority w:val="0"/>
    <w:pPr>
      <w:widowControl w:val="0"/>
      <w:tabs>
        <w:tab w:val="center" w:pos="4153"/>
        <w:tab w:val="right" w:pos="8307"/>
      </w:tabs>
      <w:snapToGrid w:val="0"/>
      <w:jc w:val="both"/>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4574</Words>
  <Characters>4655</Characters>
  <Lines>0</Lines>
  <Paragraphs>0</Paragraphs>
  <TotalTime>0</TotalTime>
  <ScaleCrop>false</ScaleCrop>
  <LinksUpToDate>false</LinksUpToDate>
  <CharactersWithSpaces>4917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2024-06-14T17:36:00Z</dcterms:created>
  <dc:creator>user</dc:creator>
  <cp:lastModifiedBy>工作室1</cp:lastModifiedBy>
  <dcterms:modified xsi:type="dcterms:W3CDTF">2024-06-14T09:43:50Z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576823FC91274E6CB0CBFA1967ACCDE0_13</vt:lpwstr>
  </property>
</Properties>
</file>