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rPr>
          <w:rFonts w:eastAsia="方正仿宋_GBK" w:cs="Times New Roman"/>
          <w:sz w:val="32"/>
          <w:szCs w:val="32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附件2</w:t>
      </w:r>
    </w:p>
    <w:p>
      <w:pPr>
        <w:spacing w:line="560" w:lineRule="exact"/>
        <w:ind w:left="0"/>
        <w:rPr>
          <w:rFonts w:eastAsia="方正仿宋_GBK" w:cs="Times New Roman"/>
          <w:sz w:val="32"/>
          <w:szCs w:val="32"/>
          <w:lang w:bidi="ar-SA"/>
        </w:rPr>
      </w:pPr>
    </w:p>
    <w:p>
      <w:pPr>
        <w:spacing w:line="560" w:lineRule="exact"/>
        <w:ind w:left="0"/>
        <w:jc w:val="center"/>
        <w:rPr>
          <w:rFonts w:hint="eastAsia" w:ascii="方正小标宋_GBK" w:eastAsia="方正小标宋_GBK" w:cs="Times New Roman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《巴中市贯彻落实“天府粮仓·百县千片”建设行动工作方案</w:t>
      </w:r>
      <w:r>
        <w:rPr>
          <w:rFonts w:hint="eastAsia" w:ascii="方正小标宋_GBK" w:eastAsia="方正小标宋_GBK" w:cs="Times New Roman"/>
          <w:color w:val="000000"/>
          <w:sz w:val="44"/>
          <w:szCs w:val="44"/>
          <w:lang w:bidi="ar-SA"/>
        </w:rPr>
        <w:t>（征求意见稿）</w:t>
      </w:r>
      <w:r>
        <w:rPr>
          <w:rFonts w:hint="eastAsia" w:ascii="方正小标宋_GBK" w:eastAsia="方正小标宋_GBK" w:cs="Times New Roman"/>
          <w:sz w:val="44"/>
          <w:szCs w:val="44"/>
          <w:lang w:bidi="ar-SA"/>
        </w:rPr>
        <w:t>》起草说明</w:t>
      </w:r>
    </w:p>
    <w:p>
      <w:pPr>
        <w:spacing w:line="560" w:lineRule="exact"/>
        <w:ind w:left="0"/>
        <w:jc w:val="center"/>
        <w:rPr>
          <w:rFonts w:hint="default" w:ascii="Times New Roman" w:hAnsi="Times New Roman" w:eastAsia="方正仿宋_GBK" w:cs="Times New Roman"/>
          <w:sz w:val="44"/>
          <w:szCs w:val="44"/>
          <w:lang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lang w:bidi="ar-SA"/>
        </w:rPr>
        <w:t>现将《巴中市贯彻落实“天府粮仓·百县千片”建设行动工作方案（征求意见稿）》（以下简称《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eastAsia="zh-CN" w:bidi="ar-SA"/>
        </w:rPr>
        <w:t>工作方案</w:t>
      </w:r>
      <w:r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lang w:bidi="ar-SA"/>
        </w:rPr>
        <w:t>》）起草情况作如下说明。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方正黑体_GBK" w:eastAsia="方正黑体_GBK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方正黑体_GBK" w:eastAsia="方正黑体_GBK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一、起草背景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/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为加快建设新时代更高水平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“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天府粮仓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”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，4月11日，四川省人民政府办公厅转发了四川省农业农村厅《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“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天府粮仓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·百县千片”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建设行动方案（2024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—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2026年）》</w:t>
      </w:r>
      <w:r>
        <w:rPr>
          <w:rFonts w:ascii="Times New Roman" w:hAnsi="Times New Roman" w:eastAsia="方正仿宋_GBK"/>
          <w:sz w:val="32"/>
          <w:szCs w:val="32"/>
        </w:rPr>
        <w:t>（川办函〔2024〕24号）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，提出在全省100个以上县（市、区）建设1000个高标准、高水平、高质量集中连片粮油千亩高产片，并分县（区）、分作物下达了千亩高产片建设任务。4月16日，四川省农业农村厅配套印发了《关于组织开展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“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天府粮仓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·百县千片”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高产竞赛的通知》</w:t>
      </w:r>
      <w:r>
        <w:rPr>
          <w:rFonts w:ascii="Times New Roman" w:hAnsi="Times New Roman" w:eastAsia="方正仿宋_GBK"/>
          <w:sz w:val="32"/>
          <w:szCs w:val="32"/>
        </w:rPr>
        <w:t>（川农发〔2024〕6号）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，决定在2024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—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2026年分年度组织开展粮油千亩高产竞赛、百亩超高产竞赛和规模经营主体超高产竞赛，示范带动全省粮油大面积单产提升。</w:t>
      </w:r>
      <w:r>
        <w:rPr>
          <w:rFonts w:ascii="Times New Roman" w:hAnsi="Times New Roman" w:eastAsia="方正仿宋_GBK"/>
          <w:sz w:val="32"/>
          <w:szCs w:val="32"/>
        </w:rPr>
        <w:t>为全面贯彻落实川办函〔2024〕24号、川农发〔2024〕6号文件要求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，市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农业农村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局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结合巴中实际，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起草了《工作方案》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adjustRightInd/>
        <w:snapToGrid/>
        <w:spacing w:after="0" w:line="560" w:lineRule="exact"/>
        <w:ind w:firstLine="640" w:firstLineChars="200"/>
        <w:jc w:val="left"/>
        <w:rPr>
          <w:rFonts w:hint="eastAsia" w:ascii="方正黑体_GBK" w:eastAsia="方正黑体_GBK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方正黑体_GBK" w:eastAsia="方正黑体_GBK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二、主要内容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《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工作方案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》内容包括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建设布局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、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建设目标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、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建设内容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、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工作程序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和保障措施5个部分。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b/>
          <w:bCs/>
          <w:kern w:val="2"/>
          <w:sz w:val="32"/>
          <w:szCs w:val="32"/>
          <w:lang w:val="en-US" w:eastAsia="zh-CN" w:bidi="ar-SA"/>
        </w:rPr>
        <w:t>第一部分  建设布局。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按照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“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相对固定县、滚动发展片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”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的思路布局，明确了巴中市各县（区）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“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天府粮仓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·百县千片”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作物种类和建设范围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b/>
          <w:bCs/>
          <w:sz w:val="32"/>
          <w:szCs w:val="32"/>
          <w:lang w:val="en-US" w:eastAsia="zh-CN"/>
        </w:rPr>
        <w:t>第二部分  建设目标。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提出了2024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—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2026年两类建设目标。一是高产竞赛目标，力争每年获得省级表扬激励；二是单产提升目标，力争粮食和油菜千亩高产片平均单产每年高出各县（区）平均单产10%、5%以上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第三部分  建设内容。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聚焦关键要素、政策服务和防灾减灾，提出了创建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“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百县千片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”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、培育规模主体、筑牢丰收防线等三项具体建设内容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第四部分  工作程序。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包括县级推荐、市级筛选和市级推荐三个方面，明确了县级推荐数量、推荐时间和具体工作要求，以及市级筛选数量、推荐数量和测产验收办法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第五部分  保障措施。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包括强化组织领导、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强化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资金保障、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强化表扬激励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和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强化氛围营造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四部分，</w:t>
      </w:r>
      <w:r>
        <w:rPr>
          <w:rFonts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对县（区）组织动员、资金保障、宣传报道等提出明确要求</w:t>
      </w:r>
      <w:r>
        <w:rPr>
          <w:rFonts w:hint="default" w:ascii="Times New Roman" w:hAnsi="Times New Roman" w:eastAsia="方正仿宋_GBK"/>
          <w:snapToGrid/>
          <w:color w:val="auto"/>
          <w:spacing w:val="-4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eastAsia="方正黑体_GBK" w:cs="Times New Roman"/>
          <w:sz w:val="32"/>
          <w:szCs w:val="32"/>
          <w:lang w:bidi="ar-SA"/>
        </w:rPr>
      </w:pPr>
      <w:r>
        <w:rPr>
          <w:rFonts w:hint="eastAsia" w:ascii="方正黑体_GBK" w:eastAsia="方正黑体_GBK" w:cs="Times New Roman"/>
          <w:sz w:val="32"/>
          <w:szCs w:val="32"/>
          <w:lang w:eastAsia="zh-CN" w:bidi="ar-SA"/>
        </w:rPr>
        <w:t>三、</w:t>
      </w:r>
      <w:r>
        <w:rPr>
          <w:rFonts w:hint="eastAsia" w:ascii="方正黑体_GBK" w:eastAsia="方正黑体_GBK" w:cs="Times New Roman"/>
          <w:sz w:val="32"/>
          <w:szCs w:val="32"/>
          <w:lang w:bidi="ar-SA"/>
        </w:rPr>
        <w:t>《</w:t>
      </w:r>
      <w:r>
        <w:rPr>
          <w:rFonts w:hint="eastAsia" w:ascii="方正黑体_GBK" w:eastAsia="方正黑体_GBK" w:cs="Times New Roman"/>
          <w:sz w:val="32"/>
          <w:szCs w:val="32"/>
          <w:lang w:eastAsia="zh-CN" w:bidi="ar-SA"/>
        </w:rPr>
        <w:t>工作方案</w:t>
      </w:r>
      <w:r>
        <w:rPr>
          <w:rFonts w:hint="eastAsia" w:ascii="方正黑体_GBK" w:eastAsia="方正黑体_GBK" w:cs="Times New Roman"/>
          <w:sz w:val="32"/>
          <w:szCs w:val="32"/>
          <w:lang w:bidi="ar-SA"/>
        </w:rPr>
        <w:t>》起草过程和征求意见情况</w:t>
      </w:r>
    </w:p>
    <w:p>
      <w:pPr>
        <w:spacing w:line="560" w:lineRule="exact"/>
        <w:ind w:left="0"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bidi="ar-SA"/>
        </w:rPr>
      </w:pPr>
      <w:r>
        <w:rPr>
          <w:rFonts w:ascii="Times New Roman" w:hAnsi="Times New Roman" w:eastAsia="方正仿宋简体" w:cs="方正仿宋简体"/>
          <w:sz w:val="32"/>
          <w:szCs w:val="32"/>
          <w:lang w:val="en-US" w:eastAsia="zh-CN" w:bidi="ar-SA"/>
        </w:rPr>
        <w:t>4月24日，通过党政网征求了县（区）和市级有关部门意见，共收集意见建</w:t>
      </w:r>
      <w:r>
        <w:rPr>
          <w:rFonts w:ascii="Times New Roman" w:hAnsi="Times New Roman" w:eastAsia="方正仿宋_GBK" w:cs="方正仿宋简体"/>
          <w:sz w:val="32"/>
          <w:szCs w:val="32"/>
          <w:lang w:bidi="ar-SA"/>
        </w:rPr>
        <w:t>议8</w:t>
      </w:r>
      <w:r>
        <w:rPr>
          <w:rFonts w:hint="eastAsia" w:ascii="Times New Roman" w:hAnsi="Times New Roman" w:eastAsia="方正仿宋_GBK" w:cs="方正仿宋简体"/>
          <w:sz w:val="32"/>
          <w:szCs w:val="32"/>
          <w:lang w:bidi="ar-SA"/>
        </w:rPr>
        <w:t>条</w:t>
      </w:r>
      <w:r>
        <w:rPr>
          <w:rFonts w:ascii="Times New Roman" w:hAnsi="Times New Roman" w:eastAsia="方正仿宋_GBK" w:cs="方正仿宋简体"/>
          <w:sz w:val="32"/>
          <w:szCs w:val="32"/>
          <w:lang w:bidi="ar-SA"/>
        </w:rPr>
        <w:t>、</w:t>
      </w:r>
      <w:r>
        <w:rPr>
          <w:rFonts w:hint="eastAsia" w:ascii="Times New Roman" w:hAnsi="Times New Roman" w:eastAsia="方正仿宋_GBK" w:cs="方正仿宋简体"/>
          <w:sz w:val="32"/>
          <w:szCs w:val="32"/>
          <w:lang w:bidi="ar-SA"/>
        </w:rPr>
        <w:t>采纳</w:t>
      </w:r>
      <w:r>
        <w:rPr>
          <w:rFonts w:ascii="Times New Roman" w:hAnsi="Times New Roman" w:eastAsia="方正仿宋_GBK" w:cs="方正仿宋简体"/>
          <w:sz w:val="32"/>
          <w:szCs w:val="32"/>
          <w:lang w:bidi="ar-SA"/>
        </w:rPr>
        <w:t>6</w:t>
      </w:r>
      <w:r>
        <w:rPr>
          <w:rFonts w:hint="eastAsia" w:ascii="Times New Roman" w:hAnsi="Times New Roman" w:eastAsia="方正仿宋_GBK" w:cs="方正仿宋简体"/>
          <w:sz w:val="32"/>
          <w:szCs w:val="32"/>
          <w:lang w:bidi="ar-SA"/>
        </w:rPr>
        <w:t>条</w:t>
      </w:r>
      <w:r>
        <w:rPr>
          <w:rFonts w:ascii="Times New Roman" w:hAnsi="Times New Roman" w:eastAsia="方正仿宋简体" w:cs="方正仿宋简体"/>
          <w:sz w:val="32"/>
          <w:szCs w:val="32"/>
          <w:lang w:val="en-US" w:eastAsia="zh-CN" w:bidi="ar-SA"/>
        </w:rPr>
        <w:t>。5月21日，市农业农村局2024年第7次局长办公会审议通过《工作方案》。5月27日，市政府同意开展巴中市粮油高产竞赛活动。5月31日，</w:t>
      </w:r>
      <w:r>
        <w:rPr>
          <w:rFonts w:ascii="Times New Roman" w:hAnsi="Times New Roman" w:eastAsia="方正仿宋_GBK"/>
          <w:sz w:val="32"/>
          <w:szCs w:val="32"/>
          <w:lang w:val="en-US" w:eastAsia="zh-CN" w:bidi="ar-SA"/>
        </w:rPr>
        <w:t>通过党政网再次征求了市委编办和市人力资源和社会，共收集意见建议1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ar-SA"/>
        </w:rPr>
        <w:t>条</w:t>
      </w:r>
      <w:r>
        <w:rPr>
          <w:rFonts w:ascii="Times New Roman" w:hAnsi="Times New Roman" w:eastAsia="方正仿宋_GBK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ar-SA"/>
        </w:rPr>
        <w:t>采纳</w:t>
      </w:r>
      <w:r>
        <w:rPr>
          <w:rFonts w:ascii="Times New Roman" w:hAnsi="Times New Roman" w:eastAsia="方正仿宋_GBK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ar-SA"/>
        </w:rPr>
        <w:t>条</w:t>
      </w:r>
      <w:r>
        <w:rPr>
          <w:rFonts w:ascii="Times New Roman" w:hAnsi="Times New Roman" w:eastAsia="方正仿宋_GBK"/>
          <w:sz w:val="32"/>
          <w:szCs w:val="32"/>
          <w:lang w:val="en-US" w:eastAsia="zh-CN" w:bidi="ar-SA"/>
        </w:rPr>
        <w:t>，形成了</w:t>
      </w:r>
      <w:r>
        <w:rPr>
          <w:rFonts w:hint="default" w:ascii="Times New Roman" w:hAnsi="Times New Roman" w:eastAsia="方正仿宋_GBK"/>
          <w:sz w:val="32"/>
          <w:szCs w:val="32"/>
          <w:lang w:bidi="ar-SA"/>
        </w:rPr>
        <w:t>面向社会公开征求意见</w:t>
      </w:r>
      <w:r>
        <w:rPr>
          <w:rFonts w:ascii="Times New Roman" w:hAnsi="Times New Roman" w:eastAsia="方正仿宋_GBK"/>
          <w:sz w:val="32"/>
          <w:szCs w:val="32"/>
          <w:lang w:bidi="ar-SA"/>
        </w:rPr>
        <w:t>稿。</w:t>
      </w:r>
    </w:p>
    <w:p/>
    <w:sectPr>
      <w:footerReference r:id="rId7" w:type="first"/>
      <w:footerReference r:id="rId5" w:type="default"/>
      <w:footerReference r:id="rId6" w:type="even"/>
      <w:pgSz w:w="11907" w:h="16840"/>
      <w:pgMar w:top="2098" w:right="1418" w:bottom="1871" w:left="1588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default" w:ascii="Times New Roman" w:hAnsi="Times New Roman" w:cs="Times New Roman"/>
        <w:sz w:val="28"/>
        <w:szCs w:val="28"/>
        <w:lang w:bidi="ar-SA"/>
      </w:rPr>
    </w:pPr>
    <w:r>
      <w:rPr>
        <w:rStyle w:val="8"/>
        <w:rFonts w:hint="default" w:ascii="Times New Roman" w:hAnsi="Times New Roman" w:cs="Times New Roman"/>
        <w:sz w:val="28"/>
        <w:szCs w:val="28"/>
        <w:lang w:bidi="ar-SA"/>
      </w:rPr>
      <w:t xml:space="preserve">—  </w:t>
    </w:r>
    <w:r>
      <w:rPr>
        <w:rStyle w:val="8"/>
        <w:rFonts w:hint="default" w:ascii="Times New Roman" w:hAnsi="Times New Roman" w:cs="Times New Roman"/>
        <w:sz w:val="28"/>
        <w:szCs w:val="28"/>
        <w:lang w:bidi="ar-SA"/>
      </w:rPr>
      <w:fldChar w:fldCharType="begin"/>
    </w:r>
    <w:r>
      <w:rPr>
        <w:rStyle w:val="8"/>
        <w:rFonts w:hint="default" w:ascii="Times New Roman" w:hAnsi="Times New Roman" w:cs="Times New Roman"/>
        <w:sz w:val="28"/>
        <w:szCs w:val="28"/>
        <w:lang w:bidi="ar-SA"/>
      </w:rPr>
      <w:instrText xml:space="preserve">Page</w:instrText>
    </w:r>
    <w:r>
      <w:rPr>
        <w:rStyle w:val="8"/>
        <w:rFonts w:hint="default" w:ascii="Times New Roman" w:hAnsi="Times New Roman" w:cs="Times New Roman"/>
        <w:sz w:val="28"/>
        <w:szCs w:val="28"/>
        <w:lang w:bidi="ar-SA"/>
      </w:rPr>
      <w:fldChar w:fldCharType="separate"/>
    </w:r>
    <w:r>
      <w:rPr>
        <w:rStyle w:val="8"/>
        <w:rFonts w:hint="default" w:ascii="Times New Roman" w:hAnsi="Times New Roman" w:cs="Times New Roman"/>
        <w:sz w:val="28"/>
        <w:szCs w:val="28"/>
        <w:lang w:bidi="ar-SA"/>
      </w:rPr>
      <w:t>1</w:t>
    </w:r>
    <w:r>
      <w:rPr>
        <w:rStyle w:val="8"/>
        <w:rFonts w:hint="default" w:ascii="Times New Roman" w:hAnsi="Times New Roman" w:cs="Times New Roman"/>
        <w:sz w:val="28"/>
        <w:szCs w:val="28"/>
        <w:lang w:bidi="ar-SA"/>
      </w:rPr>
      <w:fldChar w:fldCharType="end"/>
    </w:r>
    <w:r>
      <w:rPr>
        <w:rStyle w:val="8"/>
        <w:rFonts w:hint="default" w:ascii="Times New Roman" w:hAnsi="Times New Roman" w:cs="Times New Roman"/>
        <w:sz w:val="28"/>
        <w:szCs w:val="28"/>
        <w:lang w:bidi="ar-SA"/>
      </w:rPr>
      <w:t xml:space="preserve">  —</w:t>
    </w:r>
  </w:p>
  <w:p>
    <w:pPr>
      <w:pStyle w:val="4"/>
      <w:rPr>
        <w:rFonts w:hint="default" w:ascii="Times New Roman" w:hAnsi="Times New Roman" w:cs="Times New Roman"/>
        <w:sz w:val="28"/>
        <w:szCs w:val="28"/>
        <w:lang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13E9"/>
    <w:rsid w:val="5D3D725F"/>
    <w:rsid w:val="798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8">
    <w:name w:val="page number"/>
    <w:basedOn w:val="7"/>
    <w:qFormat/>
    <w:uiPriority w:val="0"/>
  </w:style>
  <w:style w:type="character" w:customStyle="1" w:styleId="9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1043</Characters>
  <Lines>0</Lines>
  <Paragraphs>0</Paragraphs>
  <TotalTime>0</TotalTime>
  <ScaleCrop>false</ScaleCrop>
  <LinksUpToDate>false</LinksUpToDate>
  <CharactersWithSpaces>1053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2024-06-14T17:37:00Z</dcterms:created>
  <dc:creator>user</dc:creator>
  <cp:lastModifiedBy>工作室1</cp:lastModifiedBy>
  <dcterms:modified xsi:type="dcterms:W3CDTF">2024-06-14T09:43:28Z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4378F459FD904E498B0963670CD9631E_13</vt:lpwstr>
  </property>
</Properties>
</file>