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D3D40">
      <w:pPr>
        <w:keepNext w:val="0"/>
        <w:keepLines w:val="0"/>
        <w:pageBreakBefore w:val="0"/>
        <w:widowControl w:val="0"/>
        <w:suppressAutoHyphens/>
        <w:kinsoku/>
        <w:wordWrap/>
        <w:overflowPunct/>
        <w:topLinePunct w:val="0"/>
        <w:autoSpaceDE/>
        <w:autoSpaceDN/>
        <w:bidi w:val="0"/>
        <w:adjustRightInd/>
        <w:snapToGrid w:val="0"/>
        <w:spacing w:line="500" w:lineRule="exact"/>
        <w:jc w:val="both"/>
        <w:textAlignment w:val="auto"/>
        <w:rPr>
          <w:rFonts w:hint="eastAsia" w:ascii="方正小标宋简体" w:hAnsi="方正小标宋简体" w:eastAsia="方正小标宋简体" w:cs="方正小标宋简体"/>
          <w:color w:val="0C0C0C"/>
          <w:sz w:val="32"/>
          <w:szCs w:val="32"/>
          <w:u w:val="none" w:color="000000"/>
        </w:rPr>
      </w:pPr>
      <w:bookmarkStart w:id="13" w:name="_GoBack"/>
      <w:bookmarkEnd w:id="13"/>
      <w:bookmarkStart w:id="0" w:name="_Toc42981887"/>
      <w:bookmarkStart w:id="1" w:name="_Toc48258533"/>
      <w:bookmarkStart w:id="2" w:name="_Toc989442674"/>
      <w:bookmarkStart w:id="3" w:name="_Toc51820290"/>
      <w:bookmarkStart w:id="4" w:name="_Toc1714029215"/>
      <w:bookmarkStart w:id="5" w:name="_Toc197769102"/>
      <w:bookmarkStart w:id="6" w:name="_Toc983949643_WPSOffice_Level1"/>
      <w:bookmarkStart w:id="7" w:name="_Toc1928623293"/>
      <w:bookmarkStart w:id="8" w:name="_Toc1728908978"/>
      <w:bookmarkStart w:id="9" w:name="_Toc27984273"/>
      <w:bookmarkStart w:id="10" w:name="_Toc303834967"/>
      <w:bookmarkStart w:id="11" w:name="_Toc2013987015"/>
      <w:bookmarkStart w:id="12" w:name="_Toc1682189205"/>
    </w:p>
    <w:p w14:paraId="2F3FBD80">
      <w:pPr>
        <w:keepNext w:val="0"/>
        <w:keepLines w:val="0"/>
        <w:pageBreakBefore w:val="0"/>
        <w:widowControl w:val="0"/>
        <w:suppressAutoHyphens/>
        <w:kinsoku/>
        <w:wordWrap/>
        <w:overflowPunct/>
        <w:topLinePunct w:val="0"/>
        <w:autoSpaceDE/>
        <w:autoSpaceDN/>
        <w:bidi w:val="0"/>
        <w:adjustRightInd/>
        <w:snapToGrid w:val="0"/>
        <w:spacing w:line="500" w:lineRule="exact"/>
        <w:jc w:val="center"/>
        <w:textAlignment w:val="auto"/>
        <w:rPr>
          <w:rFonts w:hint="eastAsia" w:ascii="方正小标宋简体" w:hAnsi="方正小标宋简体" w:eastAsia="方正小标宋简体" w:cs="方正小标宋简体"/>
          <w:color w:val="0C0C0C"/>
          <w:sz w:val="32"/>
          <w:szCs w:val="32"/>
          <w:u w:val="none" w:color="000000"/>
        </w:rPr>
      </w:pPr>
      <w:r>
        <w:rPr>
          <w:rFonts w:hint="eastAsia" w:ascii="方正小标宋简体" w:hAnsi="方正小标宋简体" w:eastAsia="方正小标宋简体" w:cs="方正小标宋简体"/>
          <w:color w:val="0C0C0C"/>
          <w:sz w:val="32"/>
          <w:szCs w:val="32"/>
          <w:u w:val="none" w:color="000000"/>
        </w:rPr>
        <w:t>中央生态环境保护督察群众信访举报转办和边督边改公开情况一览表</w:t>
      </w:r>
    </w:p>
    <w:p w14:paraId="4E7B70DE">
      <w:pPr>
        <w:keepNext w:val="0"/>
        <w:keepLines w:val="0"/>
        <w:pageBreakBefore w:val="0"/>
        <w:widowControl w:val="0"/>
        <w:suppressAutoHyphens/>
        <w:kinsoku/>
        <w:wordWrap/>
        <w:overflowPunct/>
        <w:topLinePunct w:val="0"/>
        <w:autoSpaceDE/>
        <w:autoSpaceDN/>
        <w:bidi w:val="0"/>
        <w:adjustRightInd/>
        <w:snapToGrid w:val="0"/>
        <w:spacing w:line="500" w:lineRule="exact"/>
        <w:jc w:val="center"/>
        <w:textAlignment w:val="auto"/>
        <w:rPr>
          <w:rFonts w:hint="eastAsia" w:ascii="楷体_GB2312" w:hAnsi="楷体_GB2312" w:eastAsia="楷体_GB2312" w:cs="楷体_GB2312"/>
          <w:b/>
          <w:bCs/>
          <w:sz w:val="24"/>
          <w:highlight w:val="none"/>
        </w:rPr>
      </w:pPr>
      <w:r>
        <w:rPr>
          <w:rFonts w:hint="eastAsia" w:ascii="楷体_GB2312" w:hAnsi="楷体_GB2312" w:eastAsia="楷体_GB2312" w:cs="楷体_GB2312"/>
          <w:b/>
          <w:bCs/>
          <w:sz w:val="24"/>
        </w:rPr>
        <w:t>（第</w:t>
      </w:r>
      <w:r>
        <w:rPr>
          <w:rFonts w:hint="eastAsia" w:ascii="楷体_GB2312" w:hAnsi="楷体_GB2312" w:eastAsia="楷体_GB2312" w:cs="楷体_GB2312"/>
          <w:b/>
          <w:bCs/>
          <w:sz w:val="24"/>
          <w:u w:val="single"/>
        </w:rPr>
        <w:t xml:space="preserve"> </w:t>
      </w:r>
      <w:r>
        <w:rPr>
          <w:rFonts w:hint="eastAsia" w:ascii="楷体_GB2312" w:hAnsi="楷体_GB2312" w:eastAsia="楷体_GB2312" w:cs="楷体_GB2312"/>
          <w:b/>
          <w:bCs/>
          <w:sz w:val="24"/>
          <w:u w:val="single"/>
          <w:lang w:val="en-US" w:eastAsia="zh-CN"/>
        </w:rPr>
        <w:t>六</w:t>
      </w:r>
      <w:r>
        <w:rPr>
          <w:rFonts w:hint="eastAsia" w:ascii="楷体_GB2312" w:hAnsi="楷体_GB2312" w:eastAsia="楷体_GB2312" w:cs="楷体_GB2312"/>
          <w:b/>
          <w:bCs/>
          <w:sz w:val="24"/>
          <w:u w:val="single"/>
        </w:rPr>
        <w:t xml:space="preserve"> </w:t>
      </w:r>
      <w:r>
        <w:rPr>
          <w:rFonts w:hint="eastAsia" w:ascii="楷体_GB2312" w:hAnsi="楷体_GB2312" w:eastAsia="楷体_GB2312" w:cs="楷体_GB2312"/>
          <w:b/>
          <w:bCs/>
          <w:sz w:val="24"/>
        </w:rPr>
        <w:t xml:space="preserve">批    </w:t>
      </w:r>
      <w:r>
        <w:rPr>
          <w:rFonts w:hint="eastAsia" w:ascii="楷体_GB2312" w:hAnsi="楷体_GB2312" w:eastAsia="楷体_GB2312" w:cs="楷体_GB2312"/>
          <w:b/>
          <w:bCs/>
          <w:sz w:val="24"/>
          <w:highlight w:val="none"/>
          <w:u w:val="single"/>
        </w:rPr>
        <w:t xml:space="preserve"> </w:t>
      </w:r>
      <w:r>
        <w:rPr>
          <w:rFonts w:hint="eastAsia" w:ascii="楷体_GB2312" w:hAnsi="楷体_GB2312" w:eastAsia="楷体_GB2312" w:cs="楷体_GB2312"/>
          <w:b/>
          <w:bCs/>
          <w:sz w:val="24"/>
          <w:highlight w:val="none"/>
          <w:u w:val="single"/>
          <w:lang w:val="en-US" w:eastAsia="zh-CN"/>
        </w:rPr>
        <w:t>2024</w:t>
      </w:r>
      <w:r>
        <w:rPr>
          <w:rFonts w:hint="eastAsia" w:ascii="楷体_GB2312" w:hAnsi="楷体_GB2312" w:eastAsia="楷体_GB2312" w:cs="楷体_GB2312"/>
          <w:b/>
          <w:bCs/>
          <w:sz w:val="24"/>
          <w:highlight w:val="none"/>
          <w:u w:val="single"/>
        </w:rPr>
        <w:t xml:space="preserve"> </w:t>
      </w:r>
      <w:r>
        <w:rPr>
          <w:rFonts w:hint="eastAsia" w:ascii="楷体_GB2312" w:hAnsi="楷体_GB2312" w:eastAsia="楷体_GB2312" w:cs="楷体_GB2312"/>
          <w:b/>
          <w:bCs/>
          <w:sz w:val="24"/>
          <w:highlight w:val="none"/>
        </w:rPr>
        <w:t>年</w:t>
      </w:r>
      <w:r>
        <w:rPr>
          <w:rFonts w:hint="eastAsia" w:ascii="楷体_GB2312" w:hAnsi="楷体_GB2312" w:eastAsia="楷体_GB2312" w:cs="楷体_GB2312"/>
          <w:b/>
          <w:bCs/>
          <w:sz w:val="24"/>
          <w:highlight w:val="none"/>
          <w:u w:val="single"/>
        </w:rPr>
        <w:t xml:space="preserve"> </w:t>
      </w:r>
      <w:r>
        <w:rPr>
          <w:rFonts w:hint="eastAsia" w:ascii="楷体_GB2312" w:hAnsi="楷体_GB2312" w:eastAsia="楷体_GB2312" w:cs="楷体_GB2312"/>
          <w:b/>
          <w:bCs/>
          <w:sz w:val="24"/>
          <w:highlight w:val="none"/>
          <w:u w:val="single"/>
          <w:lang w:val="en-US" w:eastAsia="zh-CN"/>
        </w:rPr>
        <w:t>11</w:t>
      </w:r>
      <w:r>
        <w:rPr>
          <w:rFonts w:hint="eastAsia" w:ascii="楷体_GB2312" w:hAnsi="楷体_GB2312" w:eastAsia="楷体_GB2312" w:cs="楷体_GB2312"/>
          <w:b/>
          <w:bCs/>
          <w:sz w:val="24"/>
          <w:highlight w:val="none"/>
          <w:u w:val="single"/>
        </w:rPr>
        <w:t xml:space="preserve"> </w:t>
      </w:r>
      <w:r>
        <w:rPr>
          <w:rFonts w:hint="eastAsia" w:ascii="楷体_GB2312" w:hAnsi="楷体_GB2312" w:eastAsia="楷体_GB2312" w:cs="楷体_GB2312"/>
          <w:b/>
          <w:bCs/>
          <w:sz w:val="24"/>
          <w:highlight w:val="none"/>
        </w:rPr>
        <w:t xml:space="preserve">月 </w:t>
      </w:r>
      <w:r>
        <w:rPr>
          <w:rFonts w:hint="eastAsia" w:ascii="楷体_GB2312" w:hAnsi="楷体_GB2312" w:eastAsia="楷体_GB2312" w:cs="楷体_GB2312"/>
          <w:b/>
          <w:bCs/>
          <w:sz w:val="24"/>
          <w:highlight w:val="none"/>
          <w:u w:val="single"/>
        </w:rPr>
        <w:t xml:space="preserve"> </w:t>
      </w:r>
      <w:r>
        <w:rPr>
          <w:rFonts w:hint="eastAsia" w:ascii="楷体_GB2312" w:hAnsi="楷体_GB2312" w:eastAsia="楷体_GB2312" w:cs="楷体_GB2312"/>
          <w:b/>
          <w:bCs/>
          <w:sz w:val="24"/>
          <w:highlight w:val="none"/>
          <w:u w:val="single"/>
          <w:lang w:val="en-US" w:eastAsia="zh-CN"/>
        </w:rPr>
        <w:t>2</w:t>
      </w:r>
      <w:r>
        <w:rPr>
          <w:rFonts w:hint="eastAsia" w:ascii="楷体_GB2312" w:hAnsi="楷体_GB2312" w:eastAsia="楷体_GB2312" w:cs="楷体_GB2312"/>
          <w:b/>
          <w:bCs/>
          <w:sz w:val="24"/>
          <w:highlight w:val="none"/>
          <w:u w:val="single"/>
        </w:rPr>
        <w:t xml:space="preserve"> </w:t>
      </w:r>
      <w:r>
        <w:rPr>
          <w:rFonts w:hint="eastAsia" w:ascii="楷体_GB2312" w:hAnsi="楷体_GB2312" w:eastAsia="楷体_GB2312" w:cs="楷体_GB2312"/>
          <w:b/>
          <w:bCs/>
          <w:sz w:val="24"/>
          <w:highlight w:val="none"/>
        </w:rPr>
        <w:t>日）</w:t>
      </w:r>
    </w:p>
    <w:p w14:paraId="7BCBD76E">
      <w:pPr>
        <w:keepNext w:val="0"/>
        <w:keepLines w:val="0"/>
        <w:pageBreakBefore w:val="0"/>
        <w:widowControl w:val="0"/>
        <w:suppressAutoHyphens/>
        <w:kinsoku/>
        <w:wordWrap/>
        <w:overflowPunct/>
        <w:topLinePunct w:val="0"/>
        <w:autoSpaceDE/>
        <w:autoSpaceDN/>
        <w:bidi w:val="0"/>
        <w:adjustRightInd/>
        <w:snapToGrid w:val="0"/>
        <w:spacing w:line="500" w:lineRule="exact"/>
        <w:jc w:val="left"/>
        <w:textAlignment w:val="auto"/>
        <w:rPr>
          <w:rFonts w:hint="eastAsia" w:ascii="黑体" w:hAnsi="黑体" w:eastAsia="黑体" w:cs="黑体"/>
          <w:b w:val="0"/>
          <w:bCs w:val="0"/>
          <w:sz w:val="24"/>
          <w:highlight w:val="none"/>
        </w:rPr>
      </w:pPr>
      <w:r>
        <w:rPr>
          <w:rFonts w:hint="eastAsia" w:ascii="黑体" w:hAnsi="黑体" w:eastAsia="黑体" w:cs="黑体"/>
          <w:b w:val="0"/>
          <w:bCs w:val="0"/>
          <w:sz w:val="24"/>
          <w:lang w:val="en-US" w:eastAsia="zh-CN"/>
        </w:rPr>
        <w:t>报送单位（盖章）：巴中市人民政府</w:t>
      </w:r>
    </w:p>
    <w:tbl>
      <w:tblPr>
        <w:tblStyle w:val="3"/>
        <w:tblW w:w="228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6"/>
        <w:gridCol w:w="414"/>
        <w:gridCol w:w="714"/>
        <w:gridCol w:w="472"/>
        <w:gridCol w:w="514"/>
        <w:gridCol w:w="13038"/>
        <w:gridCol w:w="400"/>
        <w:gridCol w:w="833"/>
        <w:gridCol w:w="4857"/>
        <w:gridCol w:w="528"/>
        <w:gridCol w:w="797"/>
      </w:tblGrid>
      <w:tr w14:paraId="34BAD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326" w:type="dxa"/>
            <w:vAlign w:val="center"/>
          </w:tcPr>
          <w:p w14:paraId="3C0D65C6">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rPr>
            </w:pPr>
            <w:r>
              <w:rPr>
                <w:rFonts w:hint="default" w:ascii="Times New Roman" w:hAnsi="Times New Roman" w:eastAsia="楷体_GB2312" w:cs="Times New Roman"/>
                <w:b/>
                <w:bCs/>
                <w:sz w:val="18"/>
                <w:szCs w:val="18"/>
              </w:rPr>
              <w:t>序号</w:t>
            </w:r>
          </w:p>
        </w:tc>
        <w:tc>
          <w:tcPr>
            <w:tcW w:w="414" w:type="dxa"/>
            <w:vAlign w:val="center"/>
          </w:tcPr>
          <w:p w14:paraId="4A748DC9">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rPr>
            </w:pPr>
            <w:r>
              <w:rPr>
                <w:rFonts w:hint="default" w:ascii="Times New Roman" w:hAnsi="Times New Roman" w:eastAsia="楷体_GB2312" w:cs="Times New Roman"/>
                <w:b/>
                <w:bCs/>
                <w:sz w:val="18"/>
                <w:szCs w:val="18"/>
              </w:rPr>
              <w:t>受理编号</w:t>
            </w:r>
          </w:p>
        </w:tc>
        <w:tc>
          <w:tcPr>
            <w:tcW w:w="714" w:type="dxa"/>
            <w:vAlign w:val="center"/>
          </w:tcPr>
          <w:p w14:paraId="2E76D88F">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rPr>
            </w:pPr>
            <w:r>
              <w:rPr>
                <w:rFonts w:hint="default" w:ascii="Times New Roman" w:hAnsi="Times New Roman" w:eastAsia="楷体_GB2312" w:cs="Times New Roman"/>
                <w:b/>
                <w:bCs/>
                <w:sz w:val="18"/>
                <w:szCs w:val="18"/>
              </w:rPr>
              <w:t>交办问题</w:t>
            </w:r>
          </w:p>
          <w:p w14:paraId="60A3ECDA">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rPr>
            </w:pPr>
            <w:r>
              <w:rPr>
                <w:rFonts w:hint="default" w:ascii="Times New Roman" w:hAnsi="Times New Roman" w:eastAsia="楷体_GB2312" w:cs="Times New Roman"/>
                <w:b/>
                <w:bCs/>
                <w:sz w:val="18"/>
                <w:szCs w:val="18"/>
              </w:rPr>
              <w:t>基本情况</w:t>
            </w:r>
          </w:p>
        </w:tc>
        <w:tc>
          <w:tcPr>
            <w:tcW w:w="472" w:type="dxa"/>
            <w:vAlign w:val="center"/>
          </w:tcPr>
          <w:p w14:paraId="0EA6501D">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rPr>
            </w:pPr>
            <w:r>
              <w:rPr>
                <w:rFonts w:hint="default" w:ascii="Times New Roman" w:hAnsi="Times New Roman" w:eastAsia="楷体_GB2312" w:cs="Times New Roman"/>
                <w:b/>
                <w:bCs/>
                <w:sz w:val="18"/>
                <w:szCs w:val="18"/>
              </w:rPr>
              <w:t>行政</w:t>
            </w:r>
          </w:p>
          <w:p w14:paraId="44CD7E56">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rPr>
            </w:pPr>
            <w:r>
              <w:rPr>
                <w:rFonts w:hint="default" w:ascii="Times New Roman" w:hAnsi="Times New Roman" w:eastAsia="楷体_GB2312" w:cs="Times New Roman"/>
                <w:b/>
                <w:bCs/>
                <w:sz w:val="18"/>
                <w:szCs w:val="18"/>
              </w:rPr>
              <w:t>区域</w:t>
            </w:r>
          </w:p>
        </w:tc>
        <w:tc>
          <w:tcPr>
            <w:tcW w:w="514" w:type="dxa"/>
            <w:vAlign w:val="center"/>
          </w:tcPr>
          <w:p w14:paraId="2CDABE42">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rPr>
            </w:pPr>
            <w:r>
              <w:rPr>
                <w:rFonts w:hint="default" w:ascii="Times New Roman" w:hAnsi="Times New Roman" w:eastAsia="楷体_GB2312" w:cs="Times New Roman"/>
                <w:b/>
                <w:bCs/>
                <w:sz w:val="18"/>
                <w:szCs w:val="18"/>
              </w:rPr>
              <w:t>问</w:t>
            </w:r>
          </w:p>
          <w:p w14:paraId="4987A11F">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rPr>
            </w:pPr>
            <w:r>
              <w:rPr>
                <w:rFonts w:hint="default" w:ascii="Times New Roman" w:hAnsi="Times New Roman" w:eastAsia="楷体_GB2312" w:cs="Times New Roman"/>
                <w:b/>
                <w:bCs/>
                <w:sz w:val="18"/>
                <w:szCs w:val="18"/>
              </w:rPr>
              <w:t>题</w:t>
            </w:r>
          </w:p>
          <w:p w14:paraId="5C083D50">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rPr>
            </w:pPr>
            <w:r>
              <w:rPr>
                <w:rFonts w:hint="default" w:ascii="Times New Roman" w:hAnsi="Times New Roman" w:eastAsia="楷体_GB2312" w:cs="Times New Roman"/>
                <w:b/>
                <w:bCs/>
                <w:sz w:val="18"/>
                <w:szCs w:val="18"/>
              </w:rPr>
              <w:t>类</w:t>
            </w:r>
          </w:p>
          <w:p w14:paraId="6778797B">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rPr>
            </w:pPr>
            <w:r>
              <w:rPr>
                <w:rFonts w:hint="default" w:ascii="Times New Roman" w:hAnsi="Times New Roman" w:eastAsia="楷体_GB2312" w:cs="Times New Roman"/>
                <w:b/>
                <w:bCs/>
                <w:sz w:val="18"/>
                <w:szCs w:val="18"/>
              </w:rPr>
              <w:t>型</w:t>
            </w:r>
          </w:p>
        </w:tc>
        <w:tc>
          <w:tcPr>
            <w:tcW w:w="13038" w:type="dxa"/>
            <w:vAlign w:val="center"/>
          </w:tcPr>
          <w:p w14:paraId="7EAB8E9C">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rPr>
            </w:pPr>
            <w:r>
              <w:rPr>
                <w:rFonts w:hint="default" w:ascii="Times New Roman" w:hAnsi="Times New Roman" w:eastAsia="楷体_GB2312" w:cs="Times New Roman"/>
                <w:b/>
                <w:bCs/>
                <w:sz w:val="18"/>
                <w:szCs w:val="18"/>
              </w:rPr>
              <w:t>调查核实情况</w:t>
            </w:r>
          </w:p>
        </w:tc>
        <w:tc>
          <w:tcPr>
            <w:tcW w:w="400" w:type="dxa"/>
            <w:vAlign w:val="center"/>
          </w:tcPr>
          <w:p w14:paraId="12FEE20C">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highlight w:val="none"/>
              </w:rPr>
            </w:pPr>
            <w:r>
              <w:rPr>
                <w:rFonts w:hint="default" w:ascii="Times New Roman" w:hAnsi="Times New Roman" w:eastAsia="楷体_GB2312" w:cs="Times New Roman"/>
                <w:b/>
                <w:bCs/>
                <w:sz w:val="18"/>
                <w:szCs w:val="18"/>
                <w:highlight w:val="none"/>
              </w:rPr>
              <w:t>是否</w:t>
            </w:r>
          </w:p>
          <w:p w14:paraId="48E30BB6">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highlight w:val="none"/>
              </w:rPr>
            </w:pPr>
            <w:r>
              <w:rPr>
                <w:rFonts w:hint="default" w:ascii="Times New Roman" w:hAnsi="Times New Roman" w:eastAsia="楷体_GB2312" w:cs="Times New Roman"/>
                <w:b/>
                <w:bCs/>
                <w:sz w:val="18"/>
                <w:szCs w:val="18"/>
                <w:highlight w:val="none"/>
              </w:rPr>
              <w:t>属实</w:t>
            </w:r>
          </w:p>
        </w:tc>
        <w:tc>
          <w:tcPr>
            <w:tcW w:w="833" w:type="dxa"/>
            <w:vAlign w:val="center"/>
          </w:tcPr>
          <w:p w14:paraId="3D8FEF0A">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highlight w:val="none"/>
              </w:rPr>
            </w:pPr>
            <w:r>
              <w:rPr>
                <w:rFonts w:hint="default" w:ascii="Times New Roman" w:hAnsi="Times New Roman" w:eastAsia="楷体_GB2312" w:cs="Times New Roman"/>
                <w:b/>
                <w:bCs/>
                <w:sz w:val="18"/>
                <w:szCs w:val="18"/>
                <w:highlight w:val="none"/>
              </w:rPr>
              <w:t>办结</w:t>
            </w:r>
          </w:p>
          <w:p w14:paraId="457FAC90">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highlight w:val="none"/>
              </w:rPr>
            </w:pPr>
            <w:r>
              <w:rPr>
                <w:rFonts w:hint="default" w:ascii="Times New Roman" w:hAnsi="Times New Roman" w:eastAsia="楷体_GB2312" w:cs="Times New Roman"/>
                <w:b/>
                <w:bCs/>
                <w:sz w:val="18"/>
                <w:szCs w:val="18"/>
                <w:highlight w:val="none"/>
              </w:rPr>
              <w:t>目标</w:t>
            </w:r>
          </w:p>
        </w:tc>
        <w:tc>
          <w:tcPr>
            <w:tcW w:w="4857" w:type="dxa"/>
            <w:vAlign w:val="center"/>
          </w:tcPr>
          <w:p w14:paraId="3B432631">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rPr>
            </w:pPr>
            <w:r>
              <w:rPr>
                <w:rFonts w:hint="default" w:ascii="Times New Roman" w:hAnsi="Times New Roman" w:eastAsia="楷体_GB2312" w:cs="Times New Roman"/>
                <w:b/>
                <w:bCs/>
                <w:sz w:val="18"/>
                <w:szCs w:val="18"/>
              </w:rPr>
              <w:t>处理和整改</w:t>
            </w:r>
          </w:p>
          <w:p w14:paraId="32CC62FD">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rPr>
            </w:pPr>
            <w:r>
              <w:rPr>
                <w:rFonts w:hint="default" w:ascii="Times New Roman" w:hAnsi="Times New Roman" w:eastAsia="楷体_GB2312" w:cs="Times New Roman"/>
                <w:b/>
                <w:bCs/>
                <w:sz w:val="18"/>
                <w:szCs w:val="18"/>
              </w:rPr>
              <w:t>情况</w:t>
            </w:r>
          </w:p>
        </w:tc>
        <w:tc>
          <w:tcPr>
            <w:tcW w:w="528" w:type="dxa"/>
            <w:vAlign w:val="center"/>
          </w:tcPr>
          <w:p w14:paraId="3AD7D996">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rPr>
            </w:pPr>
            <w:r>
              <w:rPr>
                <w:rFonts w:hint="default" w:ascii="Times New Roman" w:hAnsi="Times New Roman" w:eastAsia="楷体_GB2312" w:cs="Times New Roman"/>
                <w:b/>
                <w:bCs/>
                <w:sz w:val="18"/>
                <w:szCs w:val="18"/>
              </w:rPr>
              <w:t>是否</w:t>
            </w:r>
          </w:p>
          <w:p w14:paraId="05BA811E">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rPr>
            </w:pPr>
            <w:r>
              <w:rPr>
                <w:rFonts w:hint="default" w:ascii="Times New Roman" w:hAnsi="Times New Roman" w:eastAsia="楷体_GB2312" w:cs="Times New Roman"/>
                <w:b/>
                <w:bCs/>
                <w:sz w:val="18"/>
                <w:szCs w:val="18"/>
              </w:rPr>
              <w:t>办结</w:t>
            </w:r>
          </w:p>
        </w:tc>
        <w:tc>
          <w:tcPr>
            <w:tcW w:w="797" w:type="dxa"/>
            <w:vAlign w:val="center"/>
          </w:tcPr>
          <w:p w14:paraId="609E1377">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rPr>
            </w:pPr>
            <w:r>
              <w:rPr>
                <w:rFonts w:hint="default" w:ascii="Times New Roman" w:hAnsi="Times New Roman" w:eastAsia="楷体_GB2312" w:cs="Times New Roman"/>
                <w:b/>
                <w:bCs/>
                <w:sz w:val="18"/>
                <w:szCs w:val="18"/>
              </w:rPr>
              <w:t>责任人被处理情况</w:t>
            </w:r>
          </w:p>
        </w:tc>
      </w:tr>
      <w:tr w14:paraId="6441A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34" w:hRule="atLeast"/>
          <w:jc w:val="center"/>
        </w:trPr>
        <w:tc>
          <w:tcPr>
            <w:tcW w:w="326" w:type="dxa"/>
            <w:vAlign w:val="center"/>
          </w:tcPr>
          <w:p w14:paraId="0391A1D2">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center"/>
              <w:outlineLvl w:val="9"/>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1</w:t>
            </w:r>
          </w:p>
        </w:tc>
        <w:tc>
          <w:tcPr>
            <w:tcW w:w="414" w:type="dxa"/>
            <w:vAlign w:val="center"/>
          </w:tcPr>
          <w:p w14:paraId="7A13796F">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both"/>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D3SC202410230085</w:t>
            </w:r>
          </w:p>
        </w:tc>
        <w:tc>
          <w:tcPr>
            <w:tcW w:w="714" w:type="dxa"/>
            <w:vAlign w:val="center"/>
          </w:tcPr>
          <w:p w14:paraId="6569DE9C">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center"/>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青宝社区3组、4组耕地被征用，被用于建设搅拌站和沥青站，两个站的设备运行产生噪音；沥青站排放的气体污染空气。</w:t>
            </w:r>
          </w:p>
        </w:tc>
        <w:tc>
          <w:tcPr>
            <w:tcW w:w="472" w:type="dxa"/>
            <w:vAlign w:val="center"/>
          </w:tcPr>
          <w:p w14:paraId="2ED6BC98">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center"/>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恩阳区</w:t>
            </w:r>
          </w:p>
        </w:tc>
        <w:tc>
          <w:tcPr>
            <w:tcW w:w="514" w:type="dxa"/>
            <w:vAlign w:val="center"/>
          </w:tcPr>
          <w:p w14:paraId="39F59EA6">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center"/>
              <w:outlineLvl w:val="9"/>
              <w:rPr>
                <w:rFonts w:hint="default" w:ascii="Times New Roman" w:hAnsi="Times New Roman" w:eastAsia="仿宋_GB2312" w:cs="Times New Roman"/>
                <w:sz w:val="18"/>
                <w:szCs w:val="18"/>
                <w:highlight w:val="none"/>
                <w:lang w:val="en-US" w:eastAsia="zh-CN"/>
              </w:rPr>
            </w:pPr>
            <w:r>
              <w:rPr>
                <w:rFonts w:hint="default" w:ascii="Times New Roman" w:hAnsi="Times New Roman" w:eastAsia="仿宋_GB2312" w:cs="Times New Roman"/>
                <w:sz w:val="18"/>
                <w:szCs w:val="18"/>
                <w:highlight w:val="none"/>
                <w:lang w:val="en-US" w:eastAsia="zh-CN"/>
              </w:rPr>
              <w:t>群众身边的生态环境问题</w:t>
            </w:r>
          </w:p>
        </w:tc>
        <w:tc>
          <w:tcPr>
            <w:tcW w:w="13038" w:type="dxa"/>
            <w:vAlign w:val="center"/>
          </w:tcPr>
          <w:p w14:paraId="06B87BE1">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群众向中央第三生态环境保护督察组反映“青宝社区3组、4组耕地被征用，被用于建设搅拌站和沥青站，两个站的设备运行产生噪音；沥青站排放的气体污染空气”问题与D3SC202410220069号信访举报件内容基本一致，耕地被征用为新投诉内容，噪声和异味污染为重复信访内容。</w:t>
            </w:r>
          </w:p>
          <w:p w14:paraId="118E19E3">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（一）现场调查情况</w:t>
            </w:r>
          </w:p>
          <w:p w14:paraId="5D2AB365">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2024年10月24日，由市交通运输局会同恩阳区人民政府开展现场调查处理工作。经调查，情况如下：</w:t>
            </w:r>
          </w:p>
          <w:p w14:paraId="1E1E3FA2">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1.被投诉对象基本情况。</w:t>
            </w:r>
          </w:p>
          <w:p w14:paraId="3209FBA2">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信访件反映的搅拌站和沥青站为苍巴高速TJ5标8号拌合站（以下简称“拌合站”），位于巴中市恩阳区文治街道青堡社区，主要向苍巴高速建设项目生产供应混凝土，业主为四川成绵苍巴高速公路有限责任公司TJ5标段项目部（以下简称“TJ5标段项目部”）。拌合站用地性质为恩阳机场及快速路项目建设原弃土场，地表无附着物及农作物。2021年9月TJ5标段项目部取得临时用地许可后开始建设混凝土拌合站，</w:t>
            </w:r>
            <w:r>
              <w:rPr>
                <w:rFonts w:hint="default" w:ascii="Times New Roman" w:hAnsi="Times New Roman" w:eastAsia="仿宋_GB2312" w:cs="Times New Roman"/>
                <w:color w:val="auto"/>
                <w:sz w:val="18"/>
                <w:szCs w:val="18"/>
                <w:highlight w:val="none"/>
              </w:rPr>
              <w:t>期间</w:t>
            </w:r>
            <w:r>
              <w:rPr>
                <w:rFonts w:hint="default" w:ascii="Times New Roman" w:hAnsi="Times New Roman" w:eastAsia="仿宋_GB2312" w:cs="Times New Roman"/>
                <w:sz w:val="18"/>
                <w:szCs w:val="18"/>
                <w:highlight w:val="none"/>
              </w:rPr>
              <w:t>，TJ5标段项目部又于2023年5月与恩阳区土地储备中心签订了为期1年的临时用地租赁合同，期限为2023年6月1日至2024年5月31日，合同到期后因恩阳机场建设和快速路建设等历史遗留问题，村民不同意续签合同。2024年初，TJ5标段项目部未经审批将原混凝土拌合站改建为沥青拌合站，10月初，沥青拌合站主机楼建成后正进行调试、试拌沥青混凝土，此次被投诉。拌合站共占地面积83.3亩，站内分区设置1个沥青拌合站、1个碎石加工场和1处杂物堆放区。拌合站周边共居住村民6户30余人，距最近民房约100米。</w:t>
            </w:r>
          </w:p>
          <w:p w14:paraId="3A149EDB">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2.近年来工作开展情况。</w:t>
            </w:r>
          </w:p>
          <w:p w14:paraId="048E94AF">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苍巴高速公路开工建设以来，巴中市交通运输局按照年度工作计划，有序开展项目质量安全环水保检查，着重检查了项目“水、土、气”环保措施落实情况，检查发现问题得到了及时整改。前期，巴中市交通运输局及恩阳区政府均未收到苍巴高速TJ5标项目部恩阳区文治街道青堡社区拌合站生态环境的举报投诉问题。</w:t>
            </w:r>
          </w:p>
          <w:p w14:paraId="6E28460A">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3.现场调查情况。</w:t>
            </w:r>
          </w:p>
          <w:p w14:paraId="7D2E504A">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（1）关于信访投诉“青宝社区3组、4组耕地被征用，用于建设搅拌站和沥青站”问题。经现场调查核实，</w:t>
            </w:r>
            <w:r>
              <w:rPr>
                <w:rFonts w:hint="default" w:ascii="Times New Roman" w:hAnsi="Times New Roman" w:eastAsia="仿宋_GB2312" w:cs="Times New Roman"/>
                <w:color w:val="auto"/>
                <w:sz w:val="18"/>
                <w:szCs w:val="18"/>
                <w:highlight w:val="none"/>
              </w:rPr>
              <w:t>拌合</w:t>
            </w:r>
            <w:r>
              <w:rPr>
                <w:rFonts w:hint="default" w:ascii="Times New Roman" w:hAnsi="Times New Roman" w:eastAsia="仿宋_GB2312" w:cs="Times New Roman"/>
                <w:sz w:val="18"/>
                <w:szCs w:val="18"/>
                <w:highlight w:val="none"/>
              </w:rPr>
              <w:t>站用地为恩阳机场及快速路项目建设原弃土场，地表无附着物及农作物，</w:t>
            </w:r>
            <w:r>
              <w:rPr>
                <w:rFonts w:hint="default" w:ascii="Times New Roman" w:hAnsi="Times New Roman" w:eastAsia="仿宋_GB2312"/>
                <w:kern w:val="0"/>
                <w:sz w:val="18"/>
                <w:szCs w:val="18"/>
                <w:highlight w:val="none"/>
                <w:lang w:val="en-US" w:eastAsia="zh-CN" w:bidi="ar"/>
              </w:rPr>
              <w:t>属临时</w:t>
            </w:r>
            <w:r>
              <w:rPr>
                <w:rFonts w:hint="eastAsia" w:ascii="Times New Roman" w:hAnsi="Times New Roman" w:eastAsia="仿宋_GB2312"/>
                <w:kern w:val="0"/>
                <w:sz w:val="18"/>
                <w:szCs w:val="18"/>
                <w:highlight w:val="none"/>
                <w:lang w:val="en-US" w:eastAsia="zh-CN" w:bidi="ar"/>
              </w:rPr>
              <w:t>建设用地</w:t>
            </w:r>
            <w:r>
              <w:rPr>
                <w:rFonts w:hint="default" w:ascii="Times New Roman" w:hAnsi="Times New Roman" w:eastAsia="仿宋_GB2312"/>
                <w:kern w:val="0"/>
                <w:sz w:val="18"/>
                <w:szCs w:val="18"/>
                <w:highlight w:val="none"/>
                <w:lang w:val="en-US" w:eastAsia="zh-CN" w:bidi="ar"/>
              </w:rPr>
              <w:t>，</w:t>
            </w:r>
            <w:r>
              <w:rPr>
                <w:rFonts w:hint="default" w:ascii="Times New Roman" w:hAnsi="Times New Roman" w:eastAsia="仿宋_GB2312" w:cs="Times New Roman"/>
                <w:sz w:val="18"/>
                <w:szCs w:val="18"/>
                <w:highlight w:val="none"/>
              </w:rPr>
              <w:t>不属于耕地。耕地被征用问题不属实。</w:t>
            </w:r>
          </w:p>
          <w:p w14:paraId="5682A026">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2）关于信访投诉“两个站的设备运行产生噪音；沥青站排放的气体污染空气”问题。经现场调查核实，拌合站环保制度不完善，站内未采取减振、隔音等降噪措施，未配套建设封闭、吸附、除臭等沥青烟污染处置设施，对周边群众生活造成影响客观存在。10月初，沥青拌合站调试、试拌沥青混凝土时产生的沥青烟气味为此次群众信访投诉的主要污染源。问题属实。</w:t>
            </w:r>
          </w:p>
        </w:tc>
        <w:tc>
          <w:tcPr>
            <w:tcW w:w="400" w:type="dxa"/>
            <w:vAlign w:val="center"/>
          </w:tcPr>
          <w:p w14:paraId="15E39A91">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sz w:val="18"/>
                <w:szCs w:val="18"/>
                <w:highlight w:val="none"/>
                <w:lang w:val="en-US" w:eastAsia="zh-CN"/>
              </w:rPr>
            </w:pPr>
          </w:p>
          <w:p w14:paraId="6136B7CB">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sz w:val="18"/>
                <w:szCs w:val="18"/>
                <w:highlight w:val="none"/>
                <w:lang w:val="en-US" w:eastAsia="zh-CN"/>
              </w:rPr>
            </w:pPr>
            <w:r>
              <w:rPr>
                <w:rFonts w:hint="default" w:ascii="Times New Roman" w:hAnsi="Times New Roman" w:eastAsia="仿宋_GB2312" w:cs="Times New Roman"/>
                <w:sz w:val="18"/>
                <w:szCs w:val="18"/>
                <w:highlight w:val="none"/>
                <w:lang w:val="en-US" w:eastAsia="zh-CN"/>
              </w:rPr>
              <w:t>属实</w:t>
            </w:r>
          </w:p>
        </w:tc>
        <w:tc>
          <w:tcPr>
            <w:tcW w:w="833" w:type="dxa"/>
            <w:vAlign w:val="center"/>
          </w:tcPr>
          <w:p w14:paraId="5BE75C5A">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全面拆除</w:t>
            </w:r>
            <w:r>
              <w:rPr>
                <w:rFonts w:hint="default" w:ascii="Times New Roman" w:hAnsi="Times New Roman" w:eastAsia="仿宋_GB2312" w:cs="Times New Roman"/>
                <w:color w:val="auto"/>
                <w:sz w:val="18"/>
                <w:szCs w:val="18"/>
                <w:highlight w:val="none"/>
              </w:rPr>
              <w:t>拌合</w:t>
            </w:r>
            <w:r>
              <w:rPr>
                <w:rFonts w:hint="default" w:ascii="Times New Roman" w:hAnsi="Times New Roman" w:eastAsia="仿宋_GB2312" w:cs="Times New Roman"/>
                <w:sz w:val="18"/>
                <w:szCs w:val="18"/>
                <w:highlight w:val="none"/>
              </w:rPr>
              <w:t>站，彻底消除噪声和异味，并在2025年3月31日前完成复垦复绿，从源头解决群众投诉反映问题。</w:t>
            </w:r>
          </w:p>
        </w:tc>
        <w:tc>
          <w:tcPr>
            <w:tcW w:w="4857" w:type="dxa"/>
            <w:vAlign w:val="center"/>
          </w:tcPr>
          <w:p w14:paraId="68EA5C26">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highlight w:val="none"/>
              </w:rPr>
            </w:pPr>
          </w:p>
          <w:p w14:paraId="206FE8EF">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（二）处理和整改情况</w:t>
            </w:r>
          </w:p>
          <w:p w14:paraId="04B66650">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拌合站设备老旧，再投入资金对设备进行提标升级改造已无必要，为此，TJ5标项目部决定主动拆除该拌合站，即日起停止拌合站内一切生产经营活动。其后续整改工作如下：</w:t>
            </w:r>
          </w:p>
          <w:p w14:paraId="3CD5A142">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1.关于信访投诉“青宝社区3组、4组耕地被征用，用于建设搅拌站和沥青站”问题。</w:t>
            </w:r>
            <w:r>
              <w:rPr>
                <w:rFonts w:hint="default" w:ascii="Times New Roman" w:hAnsi="Times New Roman" w:eastAsia="仿宋_GB2312" w:cs="Times New Roman"/>
                <w:color w:val="auto"/>
                <w:sz w:val="18"/>
                <w:szCs w:val="18"/>
                <w:highlight w:val="none"/>
              </w:rPr>
              <w:t>拌合</w:t>
            </w:r>
            <w:r>
              <w:rPr>
                <w:rFonts w:hint="default" w:ascii="Times New Roman" w:hAnsi="Times New Roman" w:eastAsia="仿宋_GB2312" w:cs="Times New Roman"/>
                <w:sz w:val="18"/>
                <w:szCs w:val="18"/>
                <w:highlight w:val="none"/>
              </w:rPr>
              <w:t>站由TJ5标项目部主动拆除后，由恩阳区自然资源规划局和林业局指导施工单位制定复垦复绿方案，分别按照耕地、林地的标准和面积，进行复垦复绿，由恩阳区主管部门验收合格后，移交村集体经营管理，计划于2025年3月31日前完成。</w:t>
            </w:r>
          </w:p>
          <w:p w14:paraId="0D10B5C4">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2.关于信访投诉“两个站的设备运行产生噪音；沥青站排放的气体污染空气”问题。一是TJ5标项目部已于10月24日主动停止碎石加工场生产。二是TJ5标项目部计划于11月14日前安全拆除拌合站、碎石加工场有关设施设备和堆放区杂物，完成断电、断水等生产经营保障设施。截至2024年10月29日，外围堆放区杂物转运完成79%，碎石加工场拆除设施设备完成100%，沥青拌合站转运完毕沥青并拆除拌合楼管线和配件。</w:t>
            </w:r>
          </w:p>
          <w:p w14:paraId="0E8C5052">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3.市交通运输局会同恩阳区就信访问题与周边群众做好交流沟通，主动征求群众对整改情况的反馈意见，加大政策宣传引导，最大程度争取群众对问题整改的支持、理解。</w:t>
            </w:r>
          </w:p>
        </w:tc>
        <w:tc>
          <w:tcPr>
            <w:tcW w:w="528" w:type="dxa"/>
            <w:vAlign w:val="center"/>
          </w:tcPr>
          <w:p w14:paraId="7B0F5448">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both"/>
              <w:outlineLvl w:val="9"/>
              <w:rPr>
                <w:rFonts w:hint="default" w:ascii="Times New Roman" w:hAnsi="Times New Roman" w:eastAsia="仿宋_GB2312" w:cs="Times New Roman"/>
                <w:sz w:val="18"/>
                <w:szCs w:val="18"/>
                <w:highlight w:val="none"/>
                <w:lang w:val="en-US" w:eastAsia="zh-CN"/>
              </w:rPr>
            </w:pPr>
            <w:r>
              <w:rPr>
                <w:rFonts w:hint="default" w:ascii="Times New Roman" w:hAnsi="Times New Roman" w:eastAsia="仿宋_GB2312" w:cs="Times New Roman"/>
                <w:sz w:val="18"/>
                <w:szCs w:val="18"/>
                <w:highlight w:val="none"/>
                <w:lang w:val="en-US" w:eastAsia="zh-CN"/>
              </w:rPr>
              <w:t>阶段性办结</w:t>
            </w:r>
          </w:p>
        </w:tc>
        <w:tc>
          <w:tcPr>
            <w:tcW w:w="797" w:type="dxa"/>
            <w:vAlign w:val="center"/>
          </w:tcPr>
          <w:p w14:paraId="42F90229">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center"/>
              <w:outlineLvl w:val="9"/>
              <w:rPr>
                <w:rFonts w:hint="default" w:ascii="Times New Roman" w:hAnsi="Times New Roman" w:eastAsia="仿宋_GB2312" w:cs="Times New Roman"/>
                <w:sz w:val="18"/>
                <w:szCs w:val="18"/>
                <w:highlight w:val="none"/>
                <w:lang w:val="en-US" w:eastAsia="zh-CN"/>
              </w:rPr>
            </w:pPr>
            <w:r>
              <w:rPr>
                <w:rFonts w:hint="eastAsia" w:ascii="Times New Roman" w:hAnsi="Times New Roman" w:eastAsia="仿宋_GB2312" w:cs="Times New Roman"/>
                <w:sz w:val="18"/>
                <w:szCs w:val="18"/>
                <w:highlight w:val="none"/>
                <w:lang w:val="en-US" w:eastAsia="zh-CN"/>
              </w:rPr>
              <w:t>无</w:t>
            </w:r>
          </w:p>
        </w:tc>
      </w:tr>
    </w:tbl>
    <w:p w14:paraId="2FCA0C17"/>
    <w:p w14:paraId="6DDAB582"/>
    <w:p w14:paraId="2E0EBDFA"/>
    <w:p w14:paraId="6E287FBC">
      <w:pPr>
        <w:keepNext w:val="0"/>
        <w:keepLines w:val="0"/>
        <w:pageBreakBefore w:val="0"/>
        <w:widowControl w:val="0"/>
        <w:suppressAutoHyphens/>
        <w:kinsoku/>
        <w:wordWrap/>
        <w:overflowPunct/>
        <w:topLinePunct w:val="0"/>
        <w:autoSpaceDE/>
        <w:autoSpaceDN/>
        <w:bidi w:val="0"/>
        <w:adjustRightInd/>
        <w:snapToGrid w:val="0"/>
        <w:spacing w:line="300" w:lineRule="exact"/>
        <w:jc w:val="center"/>
        <w:textAlignment w:val="auto"/>
        <w:rPr>
          <w:rFonts w:hint="eastAsia" w:ascii="方正小标宋简体" w:hAnsi="方正小标宋简体" w:eastAsia="方正小标宋简体" w:cs="方正小标宋简体"/>
          <w:color w:val="0C0C0C"/>
          <w:sz w:val="32"/>
          <w:szCs w:val="32"/>
          <w:u w:val="none" w:color="000000"/>
        </w:rPr>
      </w:pPr>
    </w:p>
    <w:bookmarkEnd w:id="0"/>
    <w:bookmarkEnd w:id="1"/>
    <w:bookmarkEnd w:id="2"/>
    <w:bookmarkEnd w:id="3"/>
    <w:bookmarkEnd w:id="4"/>
    <w:bookmarkEnd w:id="5"/>
    <w:bookmarkEnd w:id="6"/>
    <w:bookmarkEnd w:id="7"/>
    <w:bookmarkEnd w:id="8"/>
    <w:bookmarkEnd w:id="9"/>
    <w:bookmarkEnd w:id="10"/>
    <w:bookmarkEnd w:id="11"/>
    <w:bookmarkEnd w:id="12"/>
    <w:p w14:paraId="489D099A">
      <w:pPr>
        <w:pStyle w:val="2"/>
        <w:rPr>
          <w:rFonts w:hint="eastAsia" w:ascii="Times New Roman" w:hAnsi="Times New Roman" w:eastAsia="仿宋_GB2312"/>
          <w:sz w:val="32"/>
          <w:szCs w:val="32"/>
          <w:lang w:val="en-US" w:eastAsia="zh-CN"/>
        </w:rPr>
        <w:sectPr>
          <w:pgSz w:w="23757" w:h="16783" w:orient="landscape"/>
          <w:pgMar w:top="567" w:right="567" w:bottom="567" w:left="567" w:header="851" w:footer="992" w:gutter="0"/>
          <w:cols w:space="0" w:num="1"/>
          <w:rtlGutter w:val="0"/>
          <w:docGrid w:type="lines" w:linePitch="312" w:charSpace="0"/>
        </w:sectPr>
      </w:pPr>
    </w:p>
    <w:p w14:paraId="452085D6">
      <w:pPr>
        <w:pStyle w:val="2"/>
        <w:ind w:left="1598" w:leftChars="304" w:hanging="960" w:hangingChars="300"/>
        <w:rPr>
          <w:rFonts w:hint="eastAsia" w:ascii="Times New Roman" w:hAnsi="Times New Roman" w:eastAsia="仿宋_GB2312"/>
          <w:sz w:val="32"/>
          <w:szCs w:val="32"/>
          <w:lang w:val="en-US" w:eastAsia="zh-CN"/>
        </w:rPr>
      </w:pPr>
    </w:p>
    <w:p w14:paraId="0E0F09E7">
      <w:pPr>
        <w:pStyle w:val="2"/>
        <w:ind w:left="1598" w:leftChars="304" w:hanging="960" w:hangingChars="300"/>
        <w:rPr>
          <w:rFonts w:hint="eastAsia" w:ascii="Times New Roman" w:hAnsi="Times New Roman" w:eastAsia="仿宋_GB2312"/>
          <w:sz w:val="32"/>
          <w:szCs w:val="32"/>
          <w:lang w:val="en-US" w:eastAsia="zh-CN"/>
        </w:rPr>
      </w:pPr>
    </w:p>
    <w:p w14:paraId="4F4ED975">
      <w:pPr>
        <w:pStyle w:val="2"/>
        <w:ind w:left="1598" w:leftChars="304" w:hanging="960" w:hangingChars="300"/>
        <w:rPr>
          <w:rFonts w:hint="eastAsia" w:ascii="Times New Roman" w:hAnsi="Times New Roman" w:eastAsia="仿宋_GB2312"/>
          <w:sz w:val="32"/>
          <w:szCs w:val="32"/>
          <w:lang w:val="en-US" w:eastAsia="zh-CN"/>
        </w:rPr>
      </w:pPr>
    </w:p>
    <w:p w14:paraId="1AC11BCD">
      <w:pPr>
        <w:pStyle w:val="2"/>
        <w:ind w:left="1598" w:leftChars="304" w:hanging="960" w:hangingChars="300"/>
        <w:rPr>
          <w:rFonts w:hint="eastAsia" w:ascii="Times New Roman" w:hAnsi="Times New Roman" w:eastAsia="仿宋_GB2312"/>
          <w:sz w:val="32"/>
          <w:szCs w:val="32"/>
          <w:lang w:val="en-US" w:eastAsia="zh-CN"/>
        </w:rPr>
      </w:pPr>
    </w:p>
    <w:p w14:paraId="60032489">
      <w:pPr>
        <w:pStyle w:val="2"/>
        <w:ind w:left="1598" w:leftChars="304" w:hanging="960" w:hangingChars="300"/>
        <w:rPr>
          <w:rFonts w:hint="eastAsia" w:ascii="Times New Roman" w:hAnsi="Times New Roman" w:eastAsia="仿宋_GB2312"/>
          <w:sz w:val="32"/>
          <w:szCs w:val="32"/>
          <w:lang w:val="en-US" w:eastAsia="zh-CN"/>
        </w:rPr>
      </w:pPr>
    </w:p>
    <w:p w14:paraId="4EC9EEFB">
      <w:pPr>
        <w:pStyle w:val="2"/>
        <w:ind w:left="1598" w:leftChars="304" w:hanging="960" w:hangingChars="300"/>
        <w:rPr>
          <w:rFonts w:hint="eastAsia" w:ascii="Times New Roman" w:hAnsi="Times New Roman" w:eastAsia="仿宋_GB2312"/>
          <w:sz w:val="32"/>
          <w:szCs w:val="32"/>
          <w:lang w:val="en-US" w:eastAsia="zh-CN"/>
        </w:rPr>
      </w:pPr>
    </w:p>
    <w:p w14:paraId="3EB5FCA2">
      <w:pPr>
        <w:pStyle w:val="2"/>
        <w:ind w:left="0" w:leftChars="0" w:firstLine="0" w:firstLineChars="0"/>
        <w:rPr>
          <w:rFonts w:hint="eastAsia" w:ascii="Times New Roman" w:hAnsi="Times New Roman" w:eastAsia="仿宋_GB2312"/>
          <w:sz w:val="32"/>
          <w:szCs w:val="32"/>
          <w:lang w:val="en-US" w:eastAsia="zh-CN"/>
        </w:rPr>
      </w:pP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altName w:val="汉仪书宋二KW"/>
    <w:panose1 w:val="02010601030101010101"/>
    <w:charset w:val="86"/>
    <w:family w:val="script"/>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楷体简">
    <w:panose1 w:val="02010600000101010101"/>
    <w:charset w:val="86"/>
    <w:family w:val="auto"/>
    <w:pitch w:val="default"/>
    <w:sig w:usb0="00000001" w:usb1="080E0800" w:usb2="00000002"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ODg5N2UzMDBiMzk3YzMwYWQ1YThhMDUyNWU2ODAifQ=="/>
  </w:docVars>
  <w:rsids>
    <w:rsidRoot w:val="0AC726F8"/>
    <w:rsid w:val="0AC726F8"/>
    <w:rsid w:val="136E1C99"/>
    <w:rsid w:val="24544D26"/>
    <w:rsid w:val="26A04986"/>
    <w:rsid w:val="36867ED5"/>
    <w:rsid w:val="37AD5457"/>
    <w:rsid w:val="47507358"/>
    <w:rsid w:val="4AB03562"/>
    <w:rsid w:val="4C3F4F72"/>
    <w:rsid w:val="4EA321DE"/>
    <w:rsid w:val="648740CE"/>
    <w:rsid w:val="79EB61DF"/>
    <w:rsid w:val="7F7F3A0D"/>
    <w:rsid w:val="7F9F0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缩进1"/>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2024-10-31T09:27:00Z</dcterms:created>
  <dc:creator>JGSW</dc:creator>
  <cp:lastModifiedBy>到灯塔去</cp:lastModifiedBy>
  <cp:lastPrinted>2024-10-31T09:40:00Z</cp:lastPrinted>
  <dcterms:modified xsi:type="dcterms:W3CDTF">2024-11-02T19:39:06Z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C6EBA7F804E2818D5A0F2667FC2957FD_42</vt:lpwstr>
  </property>
</Properties>
</file>