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3C930">
      <w:pPr>
        <w:keepNext w:val="0"/>
        <w:keepLines w:val="0"/>
        <w:pageBreakBefore w:val="0"/>
        <w:widowControl w:val="0"/>
        <w:suppressAutoHyphens/>
        <w:kinsoku/>
        <w:wordWrap/>
        <w:overflowPunct/>
        <w:topLinePunct w:val="0"/>
        <w:autoSpaceDE/>
        <w:autoSpaceDN/>
        <w:bidi w:val="0"/>
        <w:adjustRightInd/>
        <w:snapToGrid w:val="0"/>
        <w:spacing w:line="300" w:lineRule="exact"/>
        <w:jc w:val="center"/>
        <w:textAlignment w:val="auto"/>
        <w:rPr>
          <w:rFonts w:hint="eastAsia" w:ascii="方正小标宋简体" w:hAnsi="方正小标宋简体" w:eastAsia="方正小标宋简体" w:cs="方正小标宋简体"/>
          <w:color w:val="0C0C0C"/>
          <w:sz w:val="32"/>
          <w:szCs w:val="32"/>
          <w:highlight w:val="none"/>
          <w:u w:val="none" w:color="000000"/>
        </w:rPr>
      </w:pPr>
      <w:bookmarkStart w:id="0" w:name="_Toc303834967"/>
      <w:bookmarkStart w:id="1" w:name="_Toc197769102"/>
      <w:bookmarkStart w:id="2" w:name="_Toc2013987015"/>
      <w:bookmarkStart w:id="3" w:name="_Toc983949643_WPSOffice_Level1"/>
      <w:bookmarkStart w:id="4" w:name="_Toc48258533"/>
      <w:bookmarkStart w:id="5" w:name="_Toc1714029215"/>
      <w:bookmarkStart w:id="6" w:name="_Toc989442674"/>
      <w:bookmarkStart w:id="7" w:name="_Toc27984273"/>
      <w:bookmarkStart w:id="8" w:name="_Toc42981887"/>
      <w:bookmarkStart w:id="9" w:name="_Toc1682189205"/>
      <w:bookmarkStart w:id="10" w:name="_Toc51820290"/>
      <w:bookmarkStart w:id="11" w:name="_Toc1728908978"/>
      <w:bookmarkStart w:id="12" w:name="_Toc1928623293"/>
    </w:p>
    <w:p w14:paraId="1A8A834C">
      <w:pPr>
        <w:keepNext w:val="0"/>
        <w:keepLines w:val="0"/>
        <w:pageBreakBefore w:val="0"/>
        <w:widowControl w:val="0"/>
        <w:suppressAutoHyphens/>
        <w:kinsoku/>
        <w:wordWrap/>
        <w:overflowPunct/>
        <w:topLinePunct w:val="0"/>
        <w:autoSpaceDE/>
        <w:autoSpaceDN/>
        <w:bidi w:val="0"/>
        <w:adjustRightInd/>
        <w:snapToGrid w:val="0"/>
        <w:spacing w:line="500" w:lineRule="exact"/>
        <w:jc w:val="center"/>
        <w:textAlignment w:val="auto"/>
        <w:rPr>
          <w:rFonts w:hint="eastAsia" w:ascii="方正小标宋简体" w:hAnsi="方正小标宋简体" w:eastAsia="方正小标宋简体" w:cs="方正小标宋简体"/>
          <w:color w:val="0C0C0C"/>
          <w:sz w:val="32"/>
          <w:szCs w:val="32"/>
          <w:highlight w:val="none"/>
          <w:u w:val="none" w:color="000000"/>
        </w:rPr>
      </w:pPr>
      <w:r>
        <w:rPr>
          <w:rFonts w:hint="eastAsia" w:ascii="方正小标宋简体" w:hAnsi="方正小标宋简体" w:eastAsia="方正小标宋简体" w:cs="方正小标宋简体"/>
          <w:color w:val="0C0C0C"/>
          <w:sz w:val="32"/>
          <w:szCs w:val="32"/>
          <w:highlight w:val="none"/>
          <w:u w:val="none" w:color="000000"/>
        </w:rPr>
        <w:t>中央生态环境保护督察群众信访举报转办和边督边改公开情况一览表</w:t>
      </w:r>
      <w:bookmarkStart w:id="13" w:name="pindex1"/>
      <w:bookmarkEnd w:id="13"/>
    </w:p>
    <w:p w14:paraId="5D0918E4">
      <w:pPr>
        <w:keepNext w:val="0"/>
        <w:keepLines w:val="0"/>
        <w:pageBreakBefore w:val="0"/>
        <w:widowControl w:val="0"/>
        <w:suppressAutoHyphens/>
        <w:kinsoku/>
        <w:wordWrap/>
        <w:overflowPunct/>
        <w:topLinePunct w:val="0"/>
        <w:autoSpaceDE/>
        <w:autoSpaceDN/>
        <w:bidi w:val="0"/>
        <w:adjustRightInd/>
        <w:snapToGrid w:val="0"/>
        <w:spacing w:line="500" w:lineRule="exact"/>
        <w:jc w:val="center"/>
        <w:textAlignment w:val="auto"/>
        <w:rPr>
          <w:rFonts w:hint="eastAsia" w:ascii="楷体_GB2312" w:hAnsi="楷体_GB2312" w:eastAsia="楷体_GB2312" w:cs="楷体_GB2312"/>
          <w:b/>
          <w:bCs/>
          <w:sz w:val="24"/>
          <w:highlight w:val="none"/>
        </w:rPr>
      </w:pPr>
    </w:p>
    <w:p w14:paraId="48788590">
      <w:pPr>
        <w:keepNext w:val="0"/>
        <w:keepLines w:val="0"/>
        <w:pageBreakBefore w:val="0"/>
        <w:widowControl w:val="0"/>
        <w:suppressAutoHyphens/>
        <w:kinsoku/>
        <w:wordWrap/>
        <w:overflowPunct/>
        <w:topLinePunct w:val="0"/>
        <w:autoSpaceDE/>
        <w:autoSpaceDN/>
        <w:bidi w:val="0"/>
        <w:adjustRightInd/>
        <w:snapToGrid w:val="0"/>
        <w:spacing w:after="157" w:afterLines="50" w:line="500" w:lineRule="exact"/>
        <w:ind w:firstLine="482" w:firstLineChars="200"/>
        <w:jc w:val="center"/>
        <w:textAlignment w:val="auto"/>
        <w:rPr>
          <w:rFonts w:hint="eastAsia" w:ascii="黑体" w:hAnsi="黑体" w:eastAsia="黑体" w:cs="黑体"/>
          <w:b w:val="0"/>
          <w:bCs w:val="0"/>
          <w:sz w:val="24"/>
          <w:highlight w:val="none"/>
        </w:rPr>
      </w:pPr>
      <w:r>
        <w:rPr>
          <w:rFonts w:hint="eastAsia" w:ascii="楷体_GB2312" w:hAnsi="楷体_GB2312" w:eastAsia="楷体_GB2312" w:cs="楷体_GB2312"/>
          <w:b/>
          <w:bCs/>
          <w:sz w:val="24"/>
          <w:highlight w:val="none"/>
        </w:rPr>
        <w:t>（第</w:t>
      </w:r>
      <w:r>
        <w:rPr>
          <w:rFonts w:hint="eastAsia" w:ascii="楷体_GB2312" w:hAnsi="楷体_GB2312" w:eastAsia="楷体_GB2312" w:cs="楷体_GB2312"/>
          <w:b/>
          <w:bCs/>
          <w:sz w:val="24"/>
          <w:highlight w:val="none"/>
          <w:u w:val="single"/>
        </w:rPr>
        <w:t xml:space="preserve"> </w:t>
      </w:r>
      <w:r>
        <w:rPr>
          <w:rFonts w:hint="eastAsia" w:ascii="楷体_GB2312" w:hAnsi="楷体_GB2312" w:eastAsia="楷体_GB2312" w:cs="楷体_GB2312"/>
          <w:b/>
          <w:bCs/>
          <w:sz w:val="24"/>
          <w:highlight w:val="none"/>
          <w:u w:val="single"/>
          <w:lang w:val="en-US" w:eastAsia="zh-CN"/>
        </w:rPr>
        <w:t>八</w:t>
      </w:r>
      <w:r>
        <w:rPr>
          <w:rFonts w:hint="eastAsia" w:ascii="楷体_GB2312" w:hAnsi="楷体_GB2312" w:eastAsia="楷体_GB2312" w:cs="楷体_GB2312"/>
          <w:b/>
          <w:bCs/>
          <w:sz w:val="24"/>
          <w:highlight w:val="none"/>
          <w:u w:val="single"/>
        </w:rPr>
        <w:t xml:space="preserve"> </w:t>
      </w:r>
      <w:r>
        <w:rPr>
          <w:rFonts w:hint="eastAsia" w:ascii="楷体_GB2312" w:hAnsi="楷体_GB2312" w:eastAsia="楷体_GB2312" w:cs="楷体_GB2312"/>
          <w:b/>
          <w:bCs/>
          <w:sz w:val="24"/>
          <w:highlight w:val="none"/>
        </w:rPr>
        <w:t xml:space="preserve">批    </w:t>
      </w:r>
      <w:r>
        <w:rPr>
          <w:rFonts w:hint="eastAsia" w:ascii="楷体_GB2312" w:hAnsi="楷体_GB2312" w:eastAsia="楷体_GB2312" w:cs="楷体_GB2312"/>
          <w:b/>
          <w:bCs/>
          <w:sz w:val="24"/>
          <w:highlight w:val="none"/>
          <w:u w:val="single"/>
        </w:rPr>
        <w:t xml:space="preserve"> </w:t>
      </w:r>
      <w:r>
        <w:rPr>
          <w:rFonts w:hint="eastAsia" w:ascii="楷体_GB2312" w:hAnsi="楷体_GB2312" w:eastAsia="楷体_GB2312" w:cs="楷体_GB2312"/>
          <w:b/>
          <w:bCs/>
          <w:sz w:val="24"/>
          <w:highlight w:val="none"/>
          <w:u w:val="single"/>
          <w:lang w:val="en-US" w:eastAsia="zh-CN"/>
        </w:rPr>
        <w:t>2024</w:t>
      </w:r>
      <w:r>
        <w:rPr>
          <w:rFonts w:hint="eastAsia" w:ascii="楷体_GB2312" w:hAnsi="楷体_GB2312" w:eastAsia="楷体_GB2312" w:cs="楷体_GB2312"/>
          <w:b/>
          <w:bCs/>
          <w:sz w:val="24"/>
          <w:highlight w:val="none"/>
          <w:u w:val="single"/>
        </w:rPr>
        <w:t xml:space="preserve"> </w:t>
      </w:r>
      <w:r>
        <w:rPr>
          <w:rFonts w:hint="eastAsia" w:ascii="楷体_GB2312" w:hAnsi="楷体_GB2312" w:eastAsia="楷体_GB2312" w:cs="楷体_GB2312"/>
          <w:b/>
          <w:bCs/>
          <w:sz w:val="24"/>
          <w:highlight w:val="none"/>
        </w:rPr>
        <w:t>年</w:t>
      </w:r>
      <w:r>
        <w:rPr>
          <w:rFonts w:hint="eastAsia" w:ascii="楷体_GB2312" w:hAnsi="楷体_GB2312" w:eastAsia="楷体_GB2312" w:cs="楷体_GB2312"/>
          <w:b/>
          <w:bCs/>
          <w:sz w:val="24"/>
          <w:highlight w:val="none"/>
          <w:u w:val="single"/>
        </w:rPr>
        <w:t xml:space="preserve"> </w:t>
      </w:r>
      <w:r>
        <w:rPr>
          <w:rFonts w:hint="eastAsia" w:ascii="楷体_GB2312" w:hAnsi="楷体_GB2312" w:eastAsia="楷体_GB2312" w:cs="楷体_GB2312"/>
          <w:b/>
          <w:bCs/>
          <w:sz w:val="24"/>
          <w:highlight w:val="none"/>
          <w:u w:val="single"/>
          <w:lang w:val="en-US" w:eastAsia="zh-CN"/>
        </w:rPr>
        <w:t>11</w:t>
      </w:r>
      <w:r>
        <w:rPr>
          <w:rFonts w:hint="eastAsia" w:ascii="楷体_GB2312" w:hAnsi="楷体_GB2312" w:eastAsia="楷体_GB2312" w:cs="楷体_GB2312"/>
          <w:b/>
          <w:bCs/>
          <w:sz w:val="24"/>
          <w:highlight w:val="none"/>
          <w:u w:val="single"/>
        </w:rPr>
        <w:t xml:space="preserve"> </w:t>
      </w:r>
      <w:r>
        <w:rPr>
          <w:rFonts w:hint="eastAsia" w:ascii="楷体_GB2312" w:hAnsi="楷体_GB2312" w:eastAsia="楷体_GB2312" w:cs="楷体_GB2312"/>
          <w:b/>
          <w:bCs/>
          <w:sz w:val="24"/>
          <w:highlight w:val="none"/>
        </w:rPr>
        <w:t xml:space="preserve">月 </w:t>
      </w:r>
      <w:r>
        <w:rPr>
          <w:rFonts w:hint="eastAsia" w:ascii="楷体_GB2312" w:hAnsi="楷体_GB2312" w:eastAsia="楷体_GB2312" w:cs="楷体_GB2312"/>
          <w:b/>
          <w:bCs/>
          <w:sz w:val="24"/>
          <w:highlight w:val="none"/>
          <w:u w:val="single"/>
        </w:rPr>
        <w:t xml:space="preserve"> </w:t>
      </w:r>
      <w:r>
        <w:rPr>
          <w:rFonts w:hint="eastAsia" w:ascii="楷体_GB2312" w:hAnsi="楷体_GB2312" w:eastAsia="楷体_GB2312" w:cs="楷体_GB2312"/>
          <w:b/>
          <w:bCs/>
          <w:sz w:val="24"/>
          <w:highlight w:val="none"/>
          <w:u w:val="single"/>
          <w:lang w:val="en-US" w:eastAsia="zh-CN"/>
        </w:rPr>
        <w:t>4</w:t>
      </w:r>
      <w:r>
        <w:rPr>
          <w:rFonts w:hint="eastAsia" w:ascii="楷体_GB2312" w:hAnsi="楷体_GB2312" w:eastAsia="楷体_GB2312" w:cs="楷体_GB2312"/>
          <w:b/>
          <w:bCs/>
          <w:sz w:val="24"/>
          <w:highlight w:val="none"/>
          <w:u w:val="single"/>
        </w:rPr>
        <w:t xml:space="preserve"> </w:t>
      </w:r>
      <w:r>
        <w:rPr>
          <w:rFonts w:hint="eastAsia" w:ascii="楷体_GB2312" w:hAnsi="楷体_GB2312" w:eastAsia="楷体_GB2312" w:cs="楷体_GB2312"/>
          <w:b/>
          <w:bCs/>
          <w:sz w:val="24"/>
          <w:highlight w:val="none"/>
        </w:rPr>
        <w:t>日）</w:t>
      </w:r>
    </w:p>
    <w:tbl>
      <w:tblPr>
        <w:tblStyle w:val="2"/>
        <w:tblW w:w="477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7"/>
        <w:gridCol w:w="509"/>
        <w:gridCol w:w="963"/>
        <w:gridCol w:w="578"/>
        <w:gridCol w:w="629"/>
        <w:gridCol w:w="10407"/>
        <w:gridCol w:w="490"/>
        <w:gridCol w:w="1388"/>
        <w:gridCol w:w="4833"/>
        <w:gridCol w:w="778"/>
        <w:gridCol w:w="930"/>
      </w:tblGrid>
      <w:tr w14:paraId="34CD8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jc w:val="center"/>
        </w:trPr>
        <w:tc>
          <w:tcPr>
            <w:tcW w:w="308" w:type="dxa"/>
            <w:noWrap w:val="0"/>
            <w:vAlign w:val="center"/>
          </w:tcPr>
          <w:p w14:paraId="5C1A95B6">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highlight w:val="none"/>
              </w:rPr>
            </w:pPr>
            <w:r>
              <w:rPr>
                <w:rFonts w:hint="default" w:ascii="Times New Roman" w:hAnsi="Times New Roman" w:eastAsia="楷体_GB2312" w:cs="Times New Roman"/>
                <w:b/>
                <w:bCs/>
                <w:sz w:val="18"/>
                <w:szCs w:val="18"/>
                <w:highlight w:val="none"/>
              </w:rPr>
              <w:t>序号</w:t>
            </w:r>
          </w:p>
        </w:tc>
        <w:tc>
          <w:tcPr>
            <w:tcW w:w="510" w:type="dxa"/>
            <w:noWrap w:val="0"/>
            <w:vAlign w:val="center"/>
          </w:tcPr>
          <w:p w14:paraId="2F114A6B">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highlight w:val="none"/>
              </w:rPr>
            </w:pPr>
            <w:r>
              <w:rPr>
                <w:rFonts w:hint="default" w:ascii="Times New Roman" w:hAnsi="Times New Roman" w:eastAsia="楷体_GB2312" w:cs="Times New Roman"/>
                <w:b/>
                <w:bCs/>
                <w:sz w:val="18"/>
                <w:szCs w:val="18"/>
                <w:highlight w:val="none"/>
              </w:rPr>
              <w:t>受理编号</w:t>
            </w:r>
          </w:p>
        </w:tc>
        <w:tc>
          <w:tcPr>
            <w:tcW w:w="965" w:type="dxa"/>
            <w:noWrap w:val="0"/>
            <w:vAlign w:val="center"/>
          </w:tcPr>
          <w:p w14:paraId="2D127832">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highlight w:val="none"/>
              </w:rPr>
            </w:pPr>
            <w:r>
              <w:rPr>
                <w:rFonts w:hint="default" w:ascii="Times New Roman" w:hAnsi="Times New Roman" w:eastAsia="楷体_GB2312" w:cs="Times New Roman"/>
                <w:b/>
                <w:bCs/>
                <w:sz w:val="18"/>
                <w:szCs w:val="18"/>
                <w:highlight w:val="none"/>
              </w:rPr>
              <w:t>交办问题</w:t>
            </w:r>
          </w:p>
          <w:p w14:paraId="4D485855">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highlight w:val="none"/>
              </w:rPr>
            </w:pPr>
            <w:r>
              <w:rPr>
                <w:rFonts w:hint="default" w:ascii="Times New Roman" w:hAnsi="Times New Roman" w:eastAsia="楷体_GB2312" w:cs="Times New Roman"/>
                <w:b/>
                <w:bCs/>
                <w:sz w:val="18"/>
                <w:szCs w:val="18"/>
                <w:highlight w:val="none"/>
              </w:rPr>
              <w:t>基本情况</w:t>
            </w:r>
          </w:p>
        </w:tc>
        <w:tc>
          <w:tcPr>
            <w:tcW w:w="579" w:type="dxa"/>
            <w:noWrap w:val="0"/>
            <w:vAlign w:val="center"/>
          </w:tcPr>
          <w:p w14:paraId="7D4C6A38">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highlight w:val="none"/>
              </w:rPr>
            </w:pPr>
            <w:r>
              <w:rPr>
                <w:rFonts w:hint="default" w:ascii="Times New Roman" w:hAnsi="Times New Roman" w:eastAsia="楷体_GB2312" w:cs="Times New Roman"/>
                <w:b/>
                <w:bCs/>
                <w:sz w:val="18"/>
                <w:szCs w:val="18"/>
                <w:highlight w:val="none"/>
              </w:rPr>
              <w:t>行政</w:t>
            </w:r>
          </w:p>
          <w:p w14:paraId="5730C844">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highlight w:val="none"/>
              </w:rPr>
            </w:pPr>
            <w:r>
              <w:rPr>
                <w:rFonts w:hint="default" w:ascii="Times New Roman" w:hAnsi="Times New Roman" w:eastAsia="楷体_GB2312" w:cs="Times New Roman"/>
                <w:b/>
                <w:bCs/>
                <w:sz w:val="18"/>
                <w:szCs w:val="18"/>
                <w:highlight w:val="none"/>
              </w:rPr>
              <w:t>区域</w:t>
            </w:r>
          </w:p>
        </w:tc>
        <w:tc>
          <w:tcPr>
            <w:tcW w:w="631" w:type="dxa"/>
            <w:noWrap w:val="0"/>
            <w:vAlign w:val="center"/>
          </w:tcPr>
          <w:p w14:paraId="2049D6E9">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highlight w:val="none"/>
              </w:rPr>
            </w:pPr>
            <w:r>
              <w:rPr>
                <w:rFonts w:hint="default" w:ascii="Times New Roman" w:hAnsi="Times New Roman" w:eastAsia="楷体_GB2312" w:cs="Times New Roman"/>
                <w:b/>
                <w:bCs/>
                <w:sz w:val="18"/>
                <w:szCs w:val="18"/>
                <w:highlight w:val="none"/>
              </w:rPr>
              <w:t>问</w:t>
            </w:r>
          </w:p>
          <w:p w14:paraId="481CFED9">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highlight w:val="none"/>
              </w:rPr>
            </w:pPr>
            <w:r>
              <w:rPr>
                <w:rFonts w:hint="default" w:ascii="Times New Roman" w:hAnsi="Times New Roman" w:eastAsia="楷体_GB2312" w:cs="Times New Roman"/>
                <w:b/>
                <w:bCs/>
                <w:sz w:val="18"/>
                <w:szCs w:val="18"/>
                <w:highlight w:val="none"/>
              </w:rPr>
              <w:t>题</w:t>
            </w:r>
          </w:p>
          <w:p w14:paraId="1D91C279">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highlight w:val="none"/>
              </w:rPr>
            </w:pPr>
            <w:r>
              <w:rPr>
                <w:rFonts w:hint="default" w:ascii="Times New Roman" w:hAnsi="Times New Roman" w:eastAsia="楷体_GB2312" w:cs="Times New Roman"/>
                <w:b/>
                <w:bCs/>
                <w:sz w:val="18"/>
                <w:szCs w:val="18"/>
                <w:highlight w:val="none"/>
              </w:rPr>
              <w:t>类</w:t>
            </w:r>
          </w:p>
          <w:p w14:paraId="236DF656">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highlight w:val="none"/>
              </w:rPr>
            </w:pPr>
            <w:r>
              <w:rPr>
                <w:rFonts w:hint="default" w:ascii="Times New Roman" w:hAnsi="Times New Roman" w:eastAsia="楷体_GB2312" w:cs="Times New Roman"/>
                <w:b/>
                <w:bCs/>
                <w:sz w:val="18"/>
                <w:szCs w:val="18"/>
                <w:highlight w:val="none"/>
              </w:rPr>
              <w:t>型</w:t>
            </w:r>
          </w:p>
        </w:tc>
        <w:tc>
          <w:tcPr>
            <w:tcW w:w="10433" w:type="dxa"/>
            <w:noWrap w:val="0"/>
            <w:vAlign w:val="center"/>
          </w:tcPr>
          <w:p w14:paraId="2751FE67">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highlight w:val="none"/>
              </w:rPr>
            </w:pPr>
            <w:r>
              <w:rPr>
                <w:rFonts w:hint="default" w:ascii="Times New Roman" w:hAnsi="Times New Roman" w:eastAsia="楷体_GB2312" w:cs="Times New Roman"/>
                <w:b/>
                <w:bCs/>
                <w:sz w:val="18"/>
                <w:szCs w:val="18"/>
                <w:highlight w:val="none"/>
              </w:rPr>
              <w:t>调查核实情况</w:t>
            </w:r>
          </w:p>
        </w:tc>
        <w:tc>
          <w:tcPr>
            <w:tcW w:w="491" w:type="dxa"/>
            <w:noWrap w:val="0"/>
            <w:vAlign w:val="center"/>
          </w:tcPr>
          <w:p w14:paraId="2BF0BDA6">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highlight w:val="none"/>
              </w:rPr>
            </w:pPr>
            <w:r>
              <w:rPr>
                <w:rFonts w:hint="default" w:ascii="Times New Roman" w:hAnsi="Times New Roman" w:eastAsia="楷体_GB2312" w:cs="Times New Roman"/>
                <w:b/>
                <w:bCs/>
                <w:sz w:val="18"/>
                <w:szCs w:val="18"/>
                <w:highlight w:val="none"/>
              </w:rPr>
              <w:t>是否</w:t>
            </w:r>
          </w:p>
          <w:p w14:paraId="7243D918">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highlight w:val="none"/>
              </w:rPr>
            </w:pPr>
            <w:r>
              <w:rPr>
                <w:rFonts w:hint="default" w:ascii="Times New Roman" w:hAnsi="Times New Roman" w:eastAsia="楷体_GB2312" w:cs="Times New Roman"/>
                <w:b/>
                <w:bCs/>
                <w:sz w:val="18"/>
                <w:szCs w:val="18"/>
                <w:highlight w:val="none"/>
              </w:rPr>
              <w:t>属实</w:t>
            </w:r>
          </w:p>
        </w:tc>
        <w:tc>
          <w:tcPr>
            <w:tcW w:w="1391" w:type="dxa"/>
            <w:noWrap w:val="0"/>
            <w:vAlign w:val="center"/>
          </w:tcPr>
          <w:p w14:paraId="45C48BEE">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highlight w:val="none"/>
              </w:rPr>
            </w:pPr>
            <w:r>
              <w:rPr>
                <w:rFonts w:hint="default" w:ascii="Times New Roman" w:hAnsi="Times New Roman" w:eastAsia="楷体_GB2312" w:cs="Times New Roman"/>
                <w:b/>
                <w:bCs/>
                <w:sz w:val="18"/>
                <w:szCs w:val="18"/>
                <w:highlight w:val="none"/>
              </w:rPr>
              <w:t>办结</w:t>
            </w:r>
          </w:p>
          <w:p w14:paraId="3774DAC1">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highlight w:val="none"/>
              </w:rPr>
            </w:pPr>
            <w:r>
              <w:rPr>
                <w:rFonts w:hint="default" w:ascii="Times New Roman" w:hAnsi="Times New Roman" w:eastAsia="楷体_GB2312" w:cs="Times New Roman"/>
                <w:b/>
                <w:bCs/>
                <w:sz w:val="18"/>
                <w:szCs w:val="18"/>
                <w:highlight w:val="none"/>
              </w:rPr>
              <w:t>目标</w:t>
            </w:r>
          </w:p>
        </w:tc>
        <w:tc>
          <w:tcPr>
            <w:tcW w:w="4845" w:type="dxa"/>
            <w:noWrap w:val="0"/>
            <w:vAlign w:val="center"/>
          </w:tcPr>
          <w:p w14:paraId="0D078F01">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highlight w:val="none"/>
              </w:rPr>
            </w:pPr>
            <w:r>
              <w:rPr>
                <w:rFonts w:hint="default" w:ascii="Times New Roman" w:hAnsi="Times New Roman" w:eastAsia="楷体_GB2312" w:cs="Times New Roman"/>
                <w:b/>
                <w:bCs/>
                <w:sz w:val="18"/>
                <w:szCs w:val="18"/>
                <w:highlight w:val="none"/>
              </w:rPr>
              <w:t>处理和整改</w:t>
            </w:r>
          </w:p>
          <w:p w14:paraId="265045AB">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highlight w:val="none"/>
              </w:rPr>
            </w:pPr>
            <w:r>
              <w:rPr>
                <w:rFonts w:hint="default" w:ascii="Times New Roman" w:hAnsi="Times New Roman" w:eastAsia="楷体_GB2312" w:cs="Times New Roman"/>
                <w:b/>
                <w:bCs/>
                <w:sz w:val="18"/>
                <w:szCs w:val="18"/>
                <w:highlight w:val="none"/>
              </w:rPr>
              <w:t>情况</w:t>
            </w:r>
          </w:p>
        </w:tc>
        <w:tc>
          <w:tcPr>
            <w:tcW w:w="780" w:type="dxa"/>
            <w:noWrap w:val="0"/>
            <w:vAlign w:val="center"/>
          </w:tcPr>
          <w:p w14:paraId="4E95C83B">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highlight w:val="none"/>
              </w:rPr>
            </w:pPr>
            <w:r>
              <w:rPr>
                <w:rFonts w:hint="default" w:ascii="Times New Roman" w:hAnsi="Times New Roman" w:eastAsia="楷体_GB2312" w:cs="Times New Roman"/>
                <w:b/>
                <w:bCs/>
                <w:sz w:val="18"/>
                <w:szCs w:val="18"/>
                <w:highlight w:val="none"/>
              </w:rPr>
              <w:t>是否</w:t>
            </w:r>
          </w:p>
          <w:p w14:paraId="6CFDB693">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highlight w:val="none"/>
              </w:rPr>
            </w:pPr>
            <w:r>
              <w:rPr>
                <w:rFonts w:hint="default" w:ascii="Times New Roman" w:hAnsi="Times New Roman" w:eastAsia="楷体_GB2312" w:cs="Times New Roman"/>
                <w:b/>
                <w:bCs/>
                <w:sz w:val="18"/>
                <w:szCs w:val="18"/>
                <w:highlight w:val="none"/>
              </w:rPr>
              <w:t>办结</w:t>
            </w:r>
          </w:p>
        </w:tc>
        <w:tc>
          <w:tcPr>
            <w:tcW w:w="932" w:type="dxa"/>
            <w:noWrap w:val="0"/>
            <w:vAlign w:val="center"/>
          </w:tcPr>
          <w:p w14:paraId="168CD9F6">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highlight w:val="none"/>
              </w:rPr>
            </w:pPr>
            <w:r>
              <w:rPr>
                <w:rFonts w:hint="default" w:ascii="Times New Roman" w:hAnsi="Times New Roman" w:eastAsia="楷体_GB2312" w:cs="Times New Roman"/>
                <w:b/>
                <w:bCs/>
                <w:sz w:val="18"/>
                <w:szCs w:val="18"/>
                <w:highlight w:val="none"/>
              </w:rPr>
              <w:t>责任人被处理情况</w:t>
            </w:r>
          </w:p>
        </w:tc>
      </w:tr>
      <w:tr w14:paraId="77034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4" w:hRule="atLeast"/>
          <w:jc w:val="center"/>
        </w:trPr>
        <w:tc>
          <w:tcPr>
            <w:tcW w:w="308" w:type="dxa"/>
            <w:noWrap w:val="0"/>
            <w:vAlign w:val="center"/>
          </w:tcPr>
          <w:p w14:paraId="438AD183">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center"/>
              <w:outlineLvl w:val="9"/>
              <w:rPr>
                <w:rFonts w:hint="default" w:ascii="Times New Roman" w:hAnsi="Times New Roman" w:eastAsia="仿宋_GB2312" w:cs="Times New Roman"/>
                <w:sz w:val="18"/>
                <w:szCs w:val="18"/>
                <w:highlight w:val="none"/>
                <w:lang w:val="en-US" w:eastAsia="zh-CN"/>
              </w:rPr>
            </w:pPr>
            <w:r>
              <w:rPr>
                <w:rFonts w:hint="default" w:ascii="Times New Roman" w:hAnsi="Times New Roman" w:eastAsia="仿宋_GB2312" w:cs="Times New Roman"/>
                <w:sz w:val="18"/>
                <w:szCs w:val="18"/>
                <w:highlight w:val="none"/>
                <w:lang w:val="en-US" w:eastAsia="zh-CN"/>
              </w:rPr>
              <w:t>1</w:t>
            </w:r>
          </w:p>
        </w:tc>
        <w:tc>
          <w:tcPr>
            <w:tcW w:w="510" w:type="dxa"/>
            <w:noWrap w:val="0"/>
            <w:vAlign w:val="center"/>
          </w:tcPr>
          <w:p w14:paraId="0077A20F">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both"/>
              <w:outlineLvl w:val="9"/>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D3SC202410250009</w:t>
            </w:r>
          </w:p>
        </w:tc>
        <w:tc>
          <w:tcPr>
            <w:tcW w:w="965" w:type="dxa"/>
            <w:noWrap w:val="0"/>
            <w:vAlign w:val="center"/>
          </w:tcPr>
          <w:p w14:paraId="0696EBD9">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center"/>
              <w:outlineLvl w:val="9"/>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杨家河社区迅捷电器服务中心附近、河对面的垃圾中转站，以及周边停放的垃圾车产生臭味，影响附近小区居民休息。</w:t>
            </w:r>
          </w:p>
        </w:tc>
        <w:tc>
          <w:tcPr>
            <w:tcW w:w="579" w:type="dxa"/>
            <w:noWrap w:val="0"/>
            <w:vAlign w:val="center"/>
          </w:tcPr>
          <w:p w14:paraId="2F2623CC">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center"/>
              <w:outlineLvl w:val="9"/>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南江县</w:t>
            </w:r>
          </w:p>
        </w:tc>
        <w:tc>
          <w:tcPr>
            <w:tcW w:w="631" w:type="dxa"/>
            <w:noWrap w:val="0"/>
            <w:vAlign w:val="center"/>
          </w:tcPr>
          <w:p w14:paraId="0CB4AF62">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center"/>
              <w:outlineLvl w:val="9"/>
              <w:rPr>
                <w:rFonts w:hint="default" w:ascii="Times New Roman" w:hAnsi="Times New Roman" w:eastAsia="仿宋_GB2312" w:cs="Times New Roman"/>
                <w:sz w:val="18"/>
                <w:szCs w:val="18"/>
                <w:highlight w:val="none"/>
                <w:lang w:val="en-US" w:eastAsia="zh-CN"/>
              </w:rPr>
            </w:pPr>
            <w:r>
              <w:rPr>
                <w:rFonts w:hint="default" w:ascii="Times New Roman" w:hAnsi="Times New Roman" w:eastAsia="仿宋_GB2312" w:cs="Times New Roman"/>
                <w:sz w:val="18"/>
                <w:szCs w:val="18"/>
                <w:highlight w:val="none"/>
                <w:lang w:val="en-US" w:eastAsia="zh-CN"/>
              </w:rPr>
              <w:t>群众身边的生态环境问题</w:t>
            </w:r>
          </w:p>
        </w:tc>
        <w:tc>
          <w:tcPr>
            <w:tcW w:w="10433" w:type="dxa"/>
            <w:noWrap w:val="0"/>
            <w:vAlign w:val="center"/>
          </w:tcPr>
          <w:p w14:paraId="733C1B8B">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2024年10月26日，由副县长王才华同志率工作专班开展现场调查处理工作。经调查，情况如下。</w:t>
            </w:r>
          </w:p>
          <w:p w14:paraId="328D751D">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（一）被投诉对象基本情况。</w:t>
            </w:r>
          </w:p>
          <w:p w14:paraId="0799214A">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杨家河垃圾中转站始建于2019年2月，2019年4月竣工，2019年底投入使用，日处理垃圾110吨。占地750余平方米，建筑面积160余平方米，业主单位系南江县综合行政执法局，运营单位系宁夏环保集团城市服务南江有限公司。该站距离周边最近居民楼约50米，距离最近居民小区约150米。</w:t>
            </w:r>
          </w:p>
          <w:p w14:paraId="01222051">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（二）近年来工作开展情况。</w:t>
            </w:r>
          </w:p>
          <w:p w14:paraId="04E5C518">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行政审批情况：杨家河垃圾中转站项目于2016年10月17日立项同意建设（南发改审批〔2016〕592号），2019年5月21日取得《关于南江县城镇垃圾处理系统乡镇垃圾中转站建设项目环境影响报告表的批复》。“该项目符合当地总体规划及区域环境功能区划，从环境角度，同意项目的性质、地址、内容、规模、环保措施进行建设”。该站功能系处理县城区运输的垃圾集中压缩，后转运至海创环保工程公司无害化焚烧发电处理。</w:t>
            </w:r>
          </w:p>
          <w:p w14:paraId="29326FFE">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工作情况：该站由南江县综合行政执法局环卫所负责日常监督管理，采取不定时检查的方式开展日常监管工作。要求宁夏环保集团城市服务南江有限公司做好以下工作：一是制定明确的管理规章和操作流程，确保垃圾中转站的运行符合环保和安全标准；二是落实责任，明确中转站各个岗位职责，形成责任链条，确保每个环节都有专人负责；三是对设施、设备定期进行检查和维护，避免出现垃圾积存现象；四是对日常冲洗、消杀等工作进行监督。处理垃圾时，采取喷淋消毒法，通过将除臭剂和消毒剂喷淋在垃圾上，解决垃圾腐败释放出的臭味；压缩间作业时，空气净化器循环空气将臭气净化后排出。</w:t>
            </w:r>
          </w:p>
          <w:p w14:paraId="4318B106">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（三）现场调查情况。</w:t>
            </w:r>
          </w:p>
          <w:p w14:paraId="73161762">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该站场内压缩间工作时，产生的污水通过排水沟收集到三级污水沉淀池，统一收集处理。场外冲洗产生的污水，通过排水沟进入沉淀池，沉淀后再排入污水管网。</w:t>
            </w:r>
          </w:p>
          <w:p w14:paraId="013F4160">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该站产生臭味的主要原因：一是垃圾本身产生挥发性的气体；二是垃圾压缩有时未关闭大门，臭味溢出；三是临时放置的垃圾箱未及时冲洗，箱体内残渣垃圾未及时处理；四是排队等候的垃圾车停靠在站外散发的臭味。投诉反映问题属实。</w:t>
            </w:r>
          </w:p>
        </w:tc>
        <w:tc>
          <w:tcPr>
            <w:tcW w:w="491" w:type="dxa"/>
            <w:noWrap w:val="0"/>
            <w:vAlign w:val="center"/>
          </w:tcPr>
          <w:p w14:paraId="4CAEF2B6">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sz w:val="18"/>
                <w:szCs w:val="18"/>
                <w:highlight w:val="none"/>
                <w:lang w:val="en-US" w:eastAsia="zh-CN"/>
              </w:rPr>
            </w:pPr>
            <w:r>
              <w:rPr>
                <w:rFonts w:hint="default" w:ascii="Times New Roman" w:hAnsi="Times New Roman" w:eastAsia="仿宋_GB2312" w:cs="Times New Roman"/>
                <w:sz w:val="18"/>
                <w:szCs w:val="18"/>
                <w:highlight w:val="none"/>
                <w:lang w:val="en-US" w:eastAsia="zh-CN"/>
              </w:rPr>
              <w:t>属实</w:t>
            </w:r>
          </w:p>
        </w:tc>
        <w:tc>
          <w:tcPr>
            <w:tcW w:w="1391" w:type="dxa"/>
            <w:noWrap w:val="0"/>
            <w:vAlign w:val="center"/>
          </w:tcPr>
          <w:p w14:paraId="741E7F41">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有效控制臭味外溢，消除对周边群众影响。建立长效管理机制，对杨家河垃圾中转站场内、外坚持每天冲洗、消杀、除臭，作业时保持空气净化器正常运转；对进出中转站的垃圾车辆车身及垃圾箱体进行冲洗和异味消杀；压缩处理垃圾时关闭大门；严禁将垃圾箱放置在场外；排队等候垃圾车严禁停靠在站外。</w:t>
            </w:r>
          </w:p>
        </w:tc>
        <w:tc>
          <w:tcPr>
            <w:tcW w:w="4845" w:type="dxa"/>
            <w:noWrap w:val="0"/>
            <w:vAlign w:val="center"/>
          </w:tcPr>
          <w:p w14:paraId="15E4AA3F">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1.行政处罚情况。无。</w:t>
            </w:r>
          </w:p>
          <w:p w14:paraId="759F4425">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2.责成被投诉单位整改情况。由综合行政执法局牵头，集州街道办事处和杨家河社区配合，责成宁夏环保集团城市服务南江有限公司对投诉反映的问题，采取有效措施立行立改。一是对环卫车辆进行冲洗除臭，务必保证车身整洁干净，做到“一车一倒、一冲、一消杀”；二是对中转站场地实行封闭式作业，垃圾运输车辆进入压缩操作间，关闭大门后进行压缩处理，避免臭气外泄，做到“车走场清、同步消杀”，场地周边内所有垃圾箱体全部搬离，垃圾车除正常作业排队等候外，其余时间不再停靠在垃圾中转站附近；三是对垃圾中转站周边进行消杀、冲洗、除臭、灭蝇，确保干净、整洁；四是使用高效垃圾除臭剂，对中转站内垃圾进行有效除臭，避免臭味污染；五是加强作业人员技能培训，严格按照垃圾中转站规章、制度、流程作业，严禁影响附近小区居民休息。</w:t>
            </w:r>
          </w:p>
          <w:p w14:paraId="774D60F4">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highlight w:val="none"/>
              </w:rPr>
            </w:pPr>
          </w:p>
        </w:tc>
        <w:tc>
          <w:tcPr>
            <w:tcW w:w="780" w:type="dxa"/>
            <w:noWrap w:val="0"/>
            <w:vAlign w:val="center"/>
          </w:tcPr>
          <w:p w14:paraId="42241A8E">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both"/>
              <w:outlineLvl w:val="9"/>
              <w:rPr>
                <w:rFonts w:hint="default" w:ascii="Times New Roman" w:hAnsi="Times New Roman" w:eastAsia="仿宋_GB2312" w:cs="Times New Roman"/>
                <w:sz w:val="18"/>
                <w:szCs w:val="18"/>
                <w:highlight w:val="none"/>
                <w:lang w:val="en-US" w:eastAsia="zh-CN"/>
              </w:rPr>
            </w:pPr>
            <w:r>
              <w:rPr>
                <w:rFonts w:hint="default" w:ascii="Times New Roman" w:hAnsi="Times New Roman" w:eastAsia="仿宋_GB2312" w:cs="Times New Roman"/>
                <w:sz w:val="18"/>
                <w:szCs w:val="18"/>
                <w:highlight w:val="none"/>
                <w:lang w:val="en-US" w:eastAsia="zh-CN"/>
              </w:rPr>
              <w:t>已办结</w:t>
            </w:r>
          </w:p>
        </w:tc>
        <w:tc>
          <w:tcPr>
            <w:tcW w:w="932" w:type="dxa"/>
            <w:noWrap w:val="0"/>
            <w:vAlign w:val="center"/>
          </w:tcPr>
          <w:p w14:paraId="159045E3">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center"/>
              <w:outlineLvl w:val="9"/>
              <w:rPr>
                <w:rFonts w:hint="default" w:ascii="Times New Roman" w:hAnsi="Times New Roman" w:eastAsia="仿宋_GB2312" w:cs="Times New Roman"/>
                <w:sz w:val="18"/>
                <w:szCs w:val="18"/>
                <w:highlight w:val="none"/>
                <w:lang w:val="en-US" w:eastAsia="zh-CN"/>
              </w:rPr>
            </w:pPr>
            <w:r>
              <w:rPr>
                <w:rFonts w:hint="eastAsia" w:ascii="Times New Roman" w:hAnsi="Times New Roman" w:eastAsia="仿宋_GB2312" w:cs="Times New Roman"/>
                <w:sz w:val="18"/>
                <w:szCs w:val="18"/>
                <w:highlight w:val="none"/>
                <w:lang w:val="en-US" w:eastAsia="zh-CN"/>
              </w:rPr>
              <w:t>无</w:t>
            </w:r>
          </w:p>
        </w:tc>
      </w:tr>
    </w:tbl>
    <w:p w14:paraId="4B0F6F5B">
      <w:pPr>
        <w:rPr>
          <w:highlight w:val="none"/>
        </w:rPr>
      </w:pPr>
      <w:bookmarkStart w:id="14" w:name="_GoBack"/>
      <w:bookmarkEnd w:id="14"/>
    </w:p>
    <w:bookmarkEnd w:id="0"/>
    <w:bookmarkEnd w:id="1"/>
    <w:bookmarkEnd w:id="2"/>
    <w:bookmarkEnd w:id="3"/>
    <w:bookmarkEnd w:id="4"/>
    <w:bookmarkEnd w:id="5"/>
    <w:bookmarkEnd w:id="6"/>
    <w:bookmarkEnd w:id="7"/>
    <w:bookmarkEnd w:id="8"/>
    <w:bookmarkEnd w:id="9"/>
    <w:bookmarkEnd w:id="10"/>
    <w:bookmarkEnd w:id="11"/>
    <w:bookmarkEnd w:id="12"/>
    <w:p w14:paraId="431AB6AF">
      <w:pPr>
        <w:keepNext w:val="0"/>
        <w:keepLines w:val="0"/>
        <w:pageBreakBefore w:val="0"/>
        <w:widowControl w:val="0"/>
        <w:suppressAutoHyphens/>
        <w:kinsoku/>
        <w:wordWrap/>
        <w:overflowPunct/>
        <w:topLinePunct w:val="0"/>
        <w:autoSpaceDE/>
        <w:autoSpaceDN/>
        <w:bidi w:val="0"/>
        <w:adjustRightInd/>
        <w:snapToGrid w:val="0"/>
        <w:spacing w:line="300" w:lineRule="exact"/>
        <w:jc w:val="center"/>
        <w:textAlignment w:val="auto"/>
        <w:rPr>
          <w:rFonts w:hint="eastAsia" w:ascii="方正小标宋简体" w:hAnsi="方正小标宋简体" w:eastAsia="方正小标宋简体" w:cs="方正小标宋简体"/>
          <w:color w:val="0C0C0C"/>
          <w:sz w:val="32"/>
          <w:szCs w:val="32"/>
          <w:highlight w:val="none"/>
          <w:u w:val="none" w:color="000000"/>
        </w:rPr>
      </w:pPr>
    </w:p>
    <w:p w14:paraId="641479FC">
      <w:pPr>
        <w:pStyle w:val="4"/>
        <w:ind w:left="0" w:leftChars="0" w:firstLine="0" w:firstLineChars="0"/>
        <w:rPr>
          <w:rFonts w:hint="eastAsia" w:ascii="Times New Roman" w:hAnsi="Times New Roman" w:eastAsia="仿宋_GB2312"/>
          <w:sz w:val="32"/>
          <w:szCs w:val="32"/>
          <w:lang w:val="en-US" w:eastAsia="zh-CN"/>
        </w:rPr>
        <w:sectPr>
          <w:pgSz w:w="23757" w:h="16783" w:orient="landscape"/>
          <w:pgMar w:top="567" w:right="567" w:bottom="567" w:left="567" w:header="851" w:footer="992" w:gutter="0"/>
          <w:cols w:space="0" w:num="1"/>
          <w:rtlGutter w:val="0"/>
          <w:docGrid w:type="lines" w:linePitch="312" w:charSpace="0"/>
        </w:sectPr>
      </w:pPr>
    </w:p>
    <w:p w14:paraId="69099E91">
      <w:pPr>
        <w:pStyle w:val="4"/>
        <w:ind w:left="1598" w:leftChars="304" w:hanging="960" w:hangingChars="300"/>
        <w:rPr>
          <w:rFonts w:hint="eastAsia" w:ascii="Times New Roman" w:hAnsi="Times New Roman" w:eastAsia="仿宋_GB2312"/>
          <w:sz w:val="32"/>
          <w:szCs w:val="32"/>
          <w:lang w:val="en-US" w:eastAsia="zh-CN"/>
        </w:rPr>
      </w:pPr>
    </w:p>
    <w:p w14:paraId="47D72E6E">
      <w:pPr>
        <w:pStyle w:val="4"/>
        <w:ind w:left="1598" w:leftChars="304" w:hanging="960" w:hangingChars="300"/>
        <w:rPr>
          <w:rFonts w:hint="eastAsia" w:ascii="Times New Roman" w:hAnsi="Times New Roman" w:eastAsia="仿宋_GB2312"/>
          <w:sz w:val="32"/>
          <w:szCs w:val="32"/>
          <w:lang w:val="en-US" w:eastAsia="zh-CN"/>
        </w:rPr>
      </w:pPr>
    </w:p>
    <w:p w14:paraId="6A032440">
      <w:pPr>
        <w:pStyle w:val="4"/>
        <w:ind w:left="1598" w:leftChars="304" w:hanging="960" w:hangingChars="300"/>
        <w:rPr>
          <w:rFonts w:hint="eastAsia" w:ascii="Times New Roman" w:hAnsi="Times New Roman" w:eastAsia="仿宋_GB2312"/>
          <w:sz w:val="32"/>
          <w:szCs w:val="32"/>
          <w:lang w:val="en-US" w:eastAsia="zh-CN"/>
        </w:rPr>
      </w:pPr>
    </w:p>
    <w:p w14:paraId="0B1A4CDE">
      <w:pPr>
        <w:pStyle w:val="4"/>
        <w:ind w:left="1598" w:leftChars="304" w:hanging="960" w:hangingChars="300"/>
        <w:rPr>
          <w:rFonts w:hint="eastAsia" w:ascii="Times New Roman" w:hAnsi="Times New Roman" w:eastAsia="仿宋_GB2312"/>
          <w:sz w:val="32"/>
          <w:szCs w:val="32"/>
          <w:lang w:val="en-US" w:eastAsia="zh-CN"/>
        </w:rPr>
      </w:pPr>
    </w:p>
    <w:p w14:paraId="03E49B33">
      <w:pPr>
        <w:pStyle w:val="4"/>
        <w:ind w:left="1598" w:leftChars="304" w:hanging="960" w:hangingChars="300"/>
        <w:rPr>
          <w:rFonts w:hint="eastAsia" w:ascii="Times New Roman" w:hAnsi="Times New Roman" w:eastAsia="仿宋_GB2312"/>
          <w:sz w:val="32"/>
          <w:szCs w:val="32"/>
          <w:lang w:val="en-US" w:eastAsia="zh-CN"/>
        </w:rPr>
      </w:pPr>
    </w:p>
    <w:p w14:paraId="65B7638A">
      <w:pPr>
        <w:pStyle w:val="4"/>
        <w:ind w:left="1598" w:leftChars="304" w:hanging="960" w:hangingChars="300"/>
        <w:rPr>
          <w:rFonts w:hint="eastAsia" w:ascii="Times New Roman" w:hAnsi="Times New Roman" w:eastAsia="仿宋_GB2312"/>
          <w:sz w:val="32"/>
          <w:szCs w:val="32"/>
          <w:lang w:val="en-US" w:eastAsia="zh-CN"/>
        </w:rPr>
      </w:pPr>
    </w:p>
    <w:p w14:paraId="2B206912">
      <w:pPr>
        <w:pStyle w:val="4"/>
        <w:ind w:left="0" w:leftChars="0" w:firstLine="0" w:firstLineChars="0"/>
        <w:rPr>
          <w:rFonts w:hint="eastAsia" w:ascii="Times New Roman" w:hAnsi="Times New Roman" w:eastAsia="仿宋_GB2312"/>
          <w:sz w:val="32"/>
          <w:szCs w:val="32"/>
          <w:lang w:val="en-US" w:eastAsia="zh-CN"/>
        </w:rPr>
      </w:pPr>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C726F8"/>
    <w:rsid w:val="0AC726F8"/>
    <w:rsid w:val="136E1C99"/>
    <w:rsid w:val="24544D26"/>
    <w:rsid w:val="26A04986"/>
    <w:rsid w:val="36867ED5"/>
    <w:rsid w:val="37AD5457"/>
    <w:rsid w:val="47507358"/>
    <w:rsid w:val="4AB03562"/>
    <w:rsid w:val="4C3F4F72"/>
    <w:rsid w:val="4CAE0B91"/>
    <w:rsid w:val="4DF7A401"/>
    <w:rsid w:val="4EA321DE"/>
    <w:rsid w:val="648740CE"/>
    <w:rsid w:val="6D222380"/>
    <w:rsid w:val="779DA6F6"/>
    <w:rsid w:val="79EB61DF"/>
    <w:rsid w:val="7F7F3A0D"/>
    <w:rsid w:val="EF47A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缩进1"/>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1828</Words>
  <Characters>1891</Characters>
  <Lines>0</Lines>
  <Paragraphs>0</Paragraphs>
  <TotalTime>0</TotalTime>
  <ScaleCrop>false</ScaleCrop>
  <LinksUpToDate>false</LinksUpToDate>
  <CharactersWithSpaces>1904</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2024-11-01T01:27:00Z</dcterms:created>
  <dc:creator>JGSW</dc:creator>
  <cp:lastModifiedBy>呆№</cp:lastModifiedBy>
  <cp:lastPrinted>2024-11-01T01:40:00Z</cp:lastPrinted>
  <dcterms:modified xsi:type="dcterms:W3CDTF">2024-11-04T09:44:27Z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4B92575ABC9A4B28A7D2B4525276A9B8_13</vt:lpwstr>
  </property>
</Properties>
</file>